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6400" w:type="dxa"/>
        <w:jc w:val="center"/>
        <w:tblCellMar>
          <w:left w:w="0" w:type="dxa"/>
          <w:right w:w="0" w:type="dxa"/>
        </w:tblCellMar>
        <w:tblLook w:val="04A0" w:firstRow="1" w:lastRow="0" w:firstColumn="1" w:lastColumn="0" w:noHBand="0" w:noVBand="1"/>
      </w:tblPr>
      <w:tblGrid>
        <w:gridCol w:w="6400"/>
      </w:tblGrid>
      <w:tr w:rsidR="00000000" w14:paraId="0F8016E0" w14:textId="77777777">
        <w:trPr>
          <w:jc w:val="center"/>
        </w:trPr>
        <w:tc>
          <w:tcPr>
            <w:tcW w:w="0" w:type="auto"/>
            <w:vAlign w:val="center"/>
            <w:hideMark/>
          </w:tcPr>
          <w:p w14:paraId="020D51D6" w14:textId="77777777" w:rsidR="00723D6B" w:rsidRDefault="00723D6B">
            <w:pPr>
              <w:pStyle w:val="NormalWeb"/>
              <w:jc w:val="center"/>
            </w:pPr>
            <w:r>
              <w:rPr>
                <w:b/>
                <w:bCs/>
              </w:rPr>
              <w:t>ESTADO DA PARAÍBA</w:t>
            </w:r>
          </w:p>
          <w:p w14:paraId="5409270D" w14:textId="77777777" w:rsidR="00723D6B" w:rsidRDefault="00723D6B">
            <w:pPr>
              <w:pStyle w:val="NormalWeb"/>
              <w:jc w:val="center"/>
            </w:pPr>
            <w:r>
              <w:rPr>
                <w:b/>
                <w:bCs/>
              </w:rPr>
              <w:t>PREFEITURA MUNICIPAL DE RIACHÃO DO BACAMARTE</w:t>
            </w:r>
          </w:p>
          <w:p w14:paraId="7E2C1349" w14:textId="77777777" w:rsidR="00723D6B" w:rsidRDefault="00723D6B">
            <w:pPr>
              <w:pStyle w:val="NormalWeb"/>
            </w:pPr>
            <w:r>
              <w:t> </w:t>
            </w:r>
          </w:p>
          <w:p w14:paraId="7BECC822" w14:textId="77777777" w:rsidR="00723D6B" w:rsidRDefault="00723D6B">
            <w:pPr>
              <w:pStyle w:val="NormalWeb"/>
              <w:jc w:val="center"/>
            </w:pPr>
            <w:r>
              <w:rPr>
                <w:b/>
                <w:bCs/>
              </w:rPr>
              <w:t>ATA DE REGISTRO DE PREÇOS Nº: RP 00001/2026</w:t>
            </w:r>
          </w:p>
          <w:p w14:paraId="45C6C0DB" w14:textId="77777777" w:rsidR="00723D6B" w:rsidRDefault="00723D6B">
            <w:pPr>
              <w:pStyle w:val="NormalWeb"/>
            </w:pPr>
            <w:r>
              <w:t> </w:t>
            </w:r>
          </w:p>
          <w:p w14:paraId="74E158D0" w14:textId="77777777" w:rsidR="00723D6B" w:rsidRDefault="00723D6B">
            <w:pPr>
              <w:pStyle w:val="NormalWeb"/>
            </w:pPr>
            <w:r>
              <w:t>Aos 02 dias do mês de Março de 2026, na sede do Setor de Contrataçã</w:t>
            </w:r>
            <w:r>
              <w:t>o da Prefeitura Municipal de Riachão do Bacamarte, Estado da Paraíba, localizada na R Senador Cabral - Centro - Riachao do Bacamarte - PB, nos termos da Lei Federal nº 14.133, de 1º de Abril de 2021; Lei Complementar nº 123, de 14 de Dezembro de 2006; Decreto Federal nº 11.462, de 31 de Março de 2023; Instrução Normativa nº 73 SEGES/ME, de 30 de Setembro de 2022; e legislação pertinente, consideradas as alterações posteriores das referidas normas; e, ainda, conforme a classificação da proposta apresentada n</w:t>
            </w:r>
            <w:r>
              <w:t>o Pregão Eletrônico nº 00001/2026 que objetiva o registro de preços para: Registro de preços para aquisição de lampadas e luminárias diversas, destinados a manutenção da ilumincação pública e secretarias municipais; resolve registrar o preço nos seguintes termos:</w:t>
            </w:r>
          </w:p>
          <w:p w14:paraId="041919CE" w14:textId="77777777" w:rsidR="00723D6B" w:rsidRDefault="00723D6B">
            <w:pPr>
              <w:pStyle w:val="NormalWeb"/>
            </w:pPr>
            <w:r>
              <w:t> </w:t>
            </w:r>
          </w:p>
          <w:p w14:paraId="51FF9939" w14:textId="77777777" w:rsidR="00723D6B" w:rsidRDefault="00723D6B">
            <w:pPr>
              <w:pStyle w:val="NormalWeb"/>
            </w:pPr>
            <w:r>
              <w:t>Órgão e/ou entidade integrante da presente Ata de Registro de Preços: PREFEITURA MUNICIPAL DE RIACHÃO DO BACAMARTE - CNPJ nº 01.612.343/0001-70.</w:t>
            </w:r>
          </w:p>
          <w:p w14:paraId="55A6120C" w14:textId="77777777" w:rsidR="00723D6B" w:rsidRDefault="00723D6B">
            <w:pPr>
              <w:pStyle w:val="NormalWeb"/>
            </w:pPr>
            <w:r>
              <w:t> </w:t>
            </w:r>
          </w:p>
          <w:tbl>
            <w:tblPr>
              <w:tblW w:w="5000" w:type="pct"/>
              <w:tblBorders>
                <w:top w:val="single" w:sz="8" w:space="0" w:color="C0C0C0"/>
                <w:left w:val="single" w:sz="8" w:space="0" w:color="C0C0C0"/>
                <w:bottom w:val="single" w:sz="8" w:space="0" w:color="C0C0C0"/>
                <w:right w:val="single" w:sz="8" w:space="0" w:color="C0C0C0"/>
              </w:tblBorders>
              <w:tblCellMar>
                <w:left w:w="0" w:type="dxa"/>
                <w:right w:w="0" w:type="dxa"/>
              </w:tblCellMar>
              <w:tblLook w:val="04A0" w:firstRow="1" w:lastRow="0" w:firstColumn="1" w:lastColumn="0" w:noHBand="0" w:noVBand="1"/>
            </w:tblPr>
            <w:tblGrid>
              <w:gridCol w:w="405"/>
              <w:gridCol w:w="3961"/>
              <w:gridCol w:w="597"/>
              <w:gridCol w:w="501"/>
              <w:gridCol w:w="916"/>
            </w:tblGrid>
            <w:tr w:rsidR="00000000" w14:paraId="65C71A0A" w14:textId="77777777">
              <w:tc>
                <w:tcPr>
                  <w:tcW w:w="5000" w:type="pct"/>
                  <w:gridSpan w:val="5"/>
                  <w:tcBorders>
                    <w:top w:val="single" w:sz="8" w:space="0" w:color="C0C0C0"/>
                    <w:left w:val="single" w:sz="8" w:space="0" w:color="C0C0C0"/>
                    <w:bottom w:val="single" w:sz="8" w:space="0" w:color="C0C0C0"/>
                    <w:right w:val="single" w:sz="8" w:space="0" w:color="C0C0C0"/>
                  </w:tcBorders>
                  <w:vAlign w:val="center"/>
                  <w:hideMark/>
                </w:tcPr>
                <w:p w14:paraId="5F0F373D" w14:textId="77777777" w:rsidR="00723D6B" w:rsidRDefault="00723D6B">
                  <w:pPr>
                    <w:rPr>
                      <w:rFonts w:ascii="Courier New" w:eastAsia="Times New Roman" w:hAnsi="Courier New" w:cs="Courier New"/>
                      <w:color w:val="000000"/>
                      <w:sz w:val="16"/>
                      <w:szCs w:val="16"/>
                    </w:rPr>
                  </w:pPr>
                  <w:r>
                    <w:rPr>
                      <w:rFonts w:ascii="Courier New" w:eastAsia="Times New Roman" w:hAnsi="Courier New" w:cs="Courier New"/>
                      <w:b/>
                      <w:bCs/>
                      <w:color w:val="000000"/>
                      <w:sz w:val="16"/>
                      <w:szCs w:val="16"/>
                    </w:rPr>
                    <w:t>VENCEDOR:</w:t>
                  </w:r>
                  <w:r>
                    <w:rPr>
                      <w:rFonts w:ascii="Courier New" w:eastAsia="Times New Roman" w:hAnsi="Courier New" w:cs="Courier New"/>
                      <w:color w:val="000000"/>
                      <w:sz w:val="16"/>
                      <w:szCs w:val="16"/>
                    </w:rPr>
                    <w:t xml:space="preserve"> H7 COMERCIO E SERVICOS EIRELI</w:t>
                  </w:r>
                </w:p>
              </w:tc>
            </w:tr>
            <w:tr w:rsidR="00000000" w14:paraId="632F77A8" w14:textId="77777777">
              <w:tc>
                <w:tcPr>
                  <w:tcW w:w="5000" w:type="pct"/>
                  <w:gridSpan w:val="5"/>
                  <w:tcBorders>
                    <w:top w:val="single" w:sz="8" w:space="0" w:color="C0C0C0"/>
                    <w:left w:val="single" w:sz="8" w:space="0" w:color="C0C0C0"/>
                    <w:bottom w:val="single" w:sz="8" w:space="0" w:color="C0C0C0"/>
                    <w:right w:val="single" w:sz="8" w:space="0" w:color="C0C0C0"/>
                  </w:tcBorders>
                  <w:vAlign w:val="center"/>
                  <w:hideMark/>
                </w:tcPr>
                <w:p w14:paraId="223EEDA4" w14:textId="77777777" w:rsidR="00723D6B" w:rsidRDefault="00723D6B">
                  <w:pPr>
                    <w:rPr>
                      <w:rFonts w:ascii="Courier New" w:eastAsia="Times New Roman" w:hAnsi="Courier New" w:cs="Courier New"/>
                      <w:color w:val="000000"/>
                      <w:sz w:val="16"/>
                      <w:szCs w:val="16"/>
                    </w:rPr>
                  </w:pPr>
                  <w:r>
                    <w:rPr>
                      <w:rFonts w:ascii="Courier New" w:eastAsia="Times New Roman" w:hAnsi="Courier New" w:cs="Courier New"/>
                      <w:b/>
                      <w:bCs/>
                      <w:color w:val="000000"/>
                      <w:sz w:val="16"/>
                      <w:szCs w:val="16"/>
                    </w:rPr>
                    <w:t>CNPJ:</w:t>
                  </w:r>
                  <w:r>
                    <w:rPr>
                      <w:rFonts w:ascii="Courier New" w:eastAsia="Times New Roman" w:hAnsi="Courier New" w:cs="Courier New"/>
                      <w:color w:val="000000"/>
                      <w:sz w:val="16"/>
                      <w:szCs w:val="16"/>
                    </w:rPr>
                    <w:t xml:space="preserve"> 15.360.195/0001-58</w:t>
                  </w:r>
                </w:p>
              </w:tc>
            </w:tr>
            <w:tr w:rsidR="00000000" w14:paraId="5107996D" w14:textId="77777777">
              <w:tc>
                <w:tcPr>
                  <w:tcW w:w="5000" w:type="pct"/>
                  <w:gridSpan w:val="5"/>
                  <w:tcBorders>
                    <w:top w:val="single" w:sz="8" w:space="0" w:color="C0C0C0"/>
                    <w:left w:val="single" w:sz="8" w:space="0" w:color="C0C0C0"/>
                    <w:bottom w:val="single" w:sz="8" w:space="0" w:color="C0C0C0"/>
                    <w:right w:val="single" w:sz="8" w:space="0" w:color="C0C0C0"/>
                  </w:tcBorders>
                  <w:vAlign w:val="center"/>
                  <w:hideMark/>
                </w:tcPr>
                <w:p w14:paraId="2F0E4206" w14:textId="77777777" w:rsidR="00723D6B" w:rsidRDefault="00723D6B">
                  <w:pPr>
                    <w:rPr>
                      <w:rFonts w:ascii="Courier New" w:eastAsia="Times New Roman" w:hAnsi="Courier New" w:cs="Courier New"/>
                      <w:color w:val="000000"/>
                      <w:sz w:val="16"/>
                      <w:szCs w:val="16"/>
                    </w:rPr>
                  </w:pPr>
                  <w:r>
                    <w:rPr>
                      <w:rFonts w:ascii="Courier New" w:eastAsia="Times New Roman" w:hAnsi="Courier New" w:cs="Courier New"/>
                      <w:b/>
                      <w:bCs/>
                      <w:color w:val="000000"/>
                      <w:sz w:val="16"/>
                      <w:szCs w:val="16"/>
                    </w:rPr>
                    <w:t>TOTAL:</w:t>
                  </w:r>
                  <w:r>
                    <w:rPr>
                      <w:rFonts w:ascii="Courier New" w:eastAsia="Times New Roman" w:hAnsi="Courier New" w:cs="Courier New"/>
                      <w:color w:val="000000"/>
                      <w:sz w:val="16"/>
                      <w:szCs w:val="16"/>
                    </w:rPr>
                    <w:t xml:space="preserve"> </w:t>
                  </w:r>
                  <w:r>
                    <w:rPr>
                      <w:rFonts w:ascii="Courier New" w:eastAsia="Times New Roman" w:hAnsi="Courier New" w:cs="Courier New"/>
                      <w:color w:val="000000"/>
                      <w:sz w:val="16"/>
                      <w:szCs w:val="16"/>
                    </w:rPr>
                    <w:t>425.000,00</w:t>
                  </w:r>
                </w:p>
              </w:tc>
            </w:tr>
            <w:tr w:rsidR="00000000" w14:paraId="2A505D5D" w14:textId="77777777">
              <w:tc>
                <w:tcPr>
                  <w:tcW w:w="5000" w:type="pct"/>
                  <w:gridSpan w:val="5"/>
                  <w:tcBorders>
                    <w:top w:val="single" w:sz="8" w:space="0" w:color="C0C0C0"/>
                    <w:left w:val="single" w:sz="8" w:space="0" w:color="C0C0C0"/>
                    <w:bottom w:val="single" w:sz="8" w:space="0" w:color="C0C0C0"/>
                    <w:right w:val="single" w:sz="8" w:space="0" w:color="C0C0C0"/>
                  </w:tcBorders>
                  <w:vAlign w:val="center"/>
                  <w:hideMark/>
                </w:tcPr>
                <w:p w14:paraId="2B95BBBF" w14:textId="77777777" w:rsidR="00723D6B" w:rsidRDefault="00723D6B">
                  <w:pPr>
                    <w:jc w:val="both"/>
                    <w:rPr>
                      <w:rFonts w:ascii="Courier New" w:eastAsia="Times New Roman" w:hAnsi="Courier New" w:cs="Courier New"/>
                      <w:b/>
                      <w:bCs/>
                      <w:color w:val="000000"/>
                      <w:sz w:val="16"/>
                      <w:szCs w:val="16"/>
                    </w:rPr>
                  </w:pPr>
                  <w:r>
                    <w:rPr>
                      <w:rFonts w:ascii="Courier New" w:eastAsia="Times New Roman" w:hAnsi="Courier New" w:cs="Courier New"/>
                      <w:b/>
                      <w:bCs/>
                      <w:color w:val="000000"/>
                      <w:sz w:val="16"/>
                      <w:szCs w:val="16"/>
                    </w:rPr>
                    <w:t>1 - LUMINÁRIAS</w:t>
                  </w:r>
                </w:p>
              </w:tc>
            </w:tr>
            <w:tr w:rsidR="00000000" w14:paraId="49BD7F83" w14:textId="77777777">
              <w:tc>
                <w:tcPr>
                  <w:tcW w:w="250" w:type="pct"/>
                  <w:tcBorders>
                    <w:top w:val="single" w:sz="8" w:space="0" w:color="C0C0C0"/>
                    <w:left w:val="single" w:sz="8" w:space="0" w:color="C0C0C0"/>
                    <w:bottom w:val="single" w:sz="8" w:space="0" w:color="C0C0C0"/>
                    <w:right w:val="single" w:sz="8" w:space="0" w:color="C0C0C0"/>
                  </w:tcBorders>
                  <w:vAlign w:val="center"/>
                  <w:hideMark/>
                </w:tcPr>
                <w:p w14:paraId="681A7D7E" w14:textId="77777777" w:rsidR="00723D6B" w:rsidRDefault="00723D6B">
                  <w:pPr>
                    <w:jc w:val="center"/>
                    <w:rPr>
                      <w:rFonts w:ascii="Courier New" w:eastAsia="Times New Roman" w:hAnsi="Courier New" w:cs="Courier New"/>
                      <w:b/>
                      <w:bCs/>
                      <w:color w:val="000000"/>
                      <w:sz w:val="16"/>
                      <w:szCs w:val="16"/>
                    </w:rPr>
                  </w:pPr>
                  <w:r>
                    <w:rPr>
                      <w:rFonts w:ascii="Courier New" w:eastAsia="Times New Roman" w:hAnsi="Courier New" w:cs="Courier New"/>
                      <w:b/>
                      <w:bCs/>
                      <w:color w:val="000000"/>
                      <w:sz w:val="16"/>
                      <w:szCs w:val="16"/>
                    </w:rPr>
                    <w:t>ITEM</w:t>
                  </w:r>
                </w:p>
              </w:tc>
              <w:tc>
                <w:tcPr>
                  <w:tcW w:w="3150" w:type="pct"/>
                  <w:tcBorders>
                    <w:top w:val="single" w:sz="8" w:space="0" w:color="C0C0C0"/>
                    <w:left w:val="single" w:sz="8" w:space="0" w:color="C0C0C0"/>
                    <w:bottom w:val="single" w:sz="8" w:space="0" w:color="C0C0C0"/>
                    <w:right w:val="single" w:sz="8" w:space="0" w:color="C0C0C0"/>
                  </w:tcBorders>
                  <w:vAlign w:val="center"/>
                  <w:hideMark/>
                </w:tcPr>
                <w:p w14:paraId="5B4D3A44" w14:textId="77777777" w:rsidR="00723D6B" w:rsidRDefault="00723D6B">
                  <w:pPr>
                    <w:jc w:val="center"/>
                    <w:rPr>
                      <w:rFonts w:ascii="Courier New" w:eastAsia="Times New Roman" w:hAnsi="Courier New" w:cs="Courier New"/>
                      <w:b/>
                      <w:bCs/>
                      <w:color w:val="000000"/>
                      <w:sz w:val="16"/>
                      <w:szCs w:val="16"/>
                    </w:rPr>
                  </w:pPr>
                  <w:r>
                    <w:rPr>
                      <w:rFonts w:ascii="Courier New" w:eastAsia="Times New Roman" w:hAnsi="Courier New" w:cs="Courier New"/>
                      <w:b/>
                      <w:bCs/>
                      <w:color w:val="000000"/>
                      <w:sz w:val="16"/>
                      <w:szCs w:val="16"/>
                    </w:rPr>
                    <w:t>ESPECIFICAÇÃO</w:t>
                  </w:r>
                </w:p>
              </w:tc>
              <w:tc>
                <w:tcPr>
                  <w:tcW w:w="400" w:type="pct"/>
                  <w:tcBorders>
                    <w:top w:val="single" w:sz="8" w:space="0" w:color="C0C0C0"/>
                    <w:left w:val="single" w:sz="8" w:space="0" w:color="C0C0C0"/>
                    <w:bottom w:val="single" w:sz="8" w:space="0" w:color="C0C0C0"/>
                    <w:right w:val="single" w:sz="8" w:space="0" w:color="C0C0C0"/>
                  </w:tcBorders>
                  <w:vAlign w:val="center"/>
                  <w:hideMark/>
                </w:tcPr>
                <w:p w14:paraId="3CC12755" w14:textId="77777777" w:rsidR="00723D6B" w:rsidRDefault="00723D6B">
                  <w:pPr>
                    <w:jc w:val="center"/>
                    <w:rPr>
                      <w:rFonts w:ascii="Courier New" w:eastAsia="Times New Roman" w:hAnsi="Courier New" w:cs="Courier New"/>
                      <w:b/>
                      <w:bCs/>
                      <w:color w:val="000000"/>
                      <w:sz w:val="16"/>
                      <w:szCs w:val="16"/>
                    </w:rPr>
                  </w:pPr>
                  <w:r>
                    <w:rPr>
                      <w:rFonts w:ascii="Courier New" w:eastAsia="Times New Roman" w:hAnsi="Courier New" w:cs="Courier New"/>
                      <w:b/>
                      <w:bCs/>
                      <w:color w:val="000000"/>
                      <w:sz w:val="16"/>
                      <w:szCs w:val="16"/>
                    </w:rPr>
                    <w:t>MARCA</w:t>
                  </w:r>
                </w:p>
              </w:tc>
              <w:tc>
                <w:tcPr>
                  <w:tcW w:w="400" w:type="pct"/>
                  <w:tcBorders>
                    <w:top w:val="single" w:sz="8" w:space="0" w:color="C0C0C0"/>
                    <w:left w:val="single" w:sz="8" w:space="0" w:color="C0C0C0"/>
                    <w:bottom w:val="single" w:sz="8" w:space="0" w:color="C0C0C0"/>
                    <w:right w:val="single" w:sz="8" w:space="0" w:color="C0C0C0"/>
                  </w:tcBorders>
                  <w:vAlign w:val="center"/>
                  <w:hideMark/>
                </w:tcPr>
                <w:p w14:paraId="590EBF8B" w14:textId="77777777" w:rsidR="00723D6B" w:rsidRDefault="00723D6B">
                  <w:pPr>
                    <w:jc w:val="center"/>
                    <w:rPr>
                      <w:rFonts w:ascii="Courier New" w:eastAsia="Times New Roman" w:hAnsi="Courier New" w:cs="Courier New"/>
                      <w:b/>
                      <w:bCs/>
                      <w:color w:val="000000"/>
                      <w:sz w:val="16"/>
                      <w:szCs w:val="16"/>
                    </w:rPr>
                  </w:pPr>
                  <w:r>
                    <w:rPr>
                      <w:rFonts w:ascii="Courier New" w:eastAsia="Times New Roman" w:hAnsi="Courier New" w:cs="Courier New"/>
                      <w:b/>
                      <w:bCs/>
                      <w:color w:val="000000"/>
                      <w:sz w:val="16"/>
                      <w:szCs w:val="16"/>
                    </w:rPr>
                    <w:t>UNID.</w:t>
                  </w:r>
                </w:p>
              </w:tc>
              <w:tc>
                <w:tcPr>
                  <w:tcW w:w="400" w:type="pct"/>
                  <w:tcBorders>
                    <w:top w:val="single" w:sz="8" w:space="0" w:color="C0C0C0"/>
                    <w:left w:val="single" w:sz="8" w:space="0" w:color="C0C0C0"/>
                    <w:bottom w:val="single" w:sz="8" w:space="0" w:color="C0C0C0"/>
                    <w:right w:val="single" w:sz="8" w:space="0" w:color="C0C0C0"/>
                  </w:tcBorders>
                  <w:vAlign w:val="center"/>
                  <w:hideMark/>
                </w:tcPr>
                <w:p w14:paraId="25D72545" w14:textId="77777777" w:rsidR="00723D6B" w:rsidRDefault="00723D6B">
                  <w:pPr>
                    <w:jc w:val="center"/>
                    <w:rPr>
                      <w:rFonts w:ascii="Courier New" w:eastAsia="Times New Roman" w:hAnsi="Courier New" w:cs="Courier New"/>
                      <w:b/>
                      <w:bCs/>
                      <w:color w:val="000000"/>
                      <w:sz w:val="16"/>
                      <w:szCs w:val="16"/>
                    </w:rPr>
                  </w:pPr>
                  <w:r>
                    <w:rPr>
                      <w:rFonts w:ascii="Courier New" w:eastAsia="Times New Roman" w:hAnsi="Courier New" w:cs="Courier New"/>
                      <w:b/>
                      <w:bCs/>
                      <w:color w:val="000000"/>
                      <w:sz w:val="16"/>
                      <w:szCs w:val="16"/>
                    </w:rPr>
                    <w:t>QUANT.</w:t>
                  </w:r>
                </w:p>
              </w:tc>
            </w:tr>
            <w:tr w:rsidR="00000000" w14:paraId="4237D102"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05D1AE51" w14:textId="77777777" w:rsidR="00723D6B" w:rsidRDefault="00723D6B">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w:t>
                  </w:r>
                </w:p>
              </w:tc>
              <w:tc>
                <w:tcPr>
                  <w:tcW w:w="3150" w:type="pct"/>
                  <w:tcBorders>
                    <w:top w:val="single" w:sz="8" w:space="0" w:color="C0C0C0"/>
                    <w:left w:val="single" w:sz="8" w:space="0" w:color="C0C0C0"/>
                    <w:bottom w:val="single" w:sz="8" w:space="0" w:color="C0C0C0"/>
                    <w:right w:val="single" w:sz="8" w:space="0" w:color="C0C0C0"/>
                  </w:tcBorders>
                  <w:hideMark/>
                </w:tcPr>
                <w:p w14:paraId="58191837" w14:textId="77777777" w:rsidR="00723D6B" w:rsidRDefault="00723D6B">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Luminária pública LED destinada à iluminação de vias urbanas, praças e áreas públicas, com alto desempenho luminoso e eficiência energética.Especificações técnicas:– Potência nominal: 150W– Tensão de alimentação: Bivolt automático (100–240V)– Fluxo luminoso mínimo: 15.000 lúmens– Eficiência luminosa: = 100 lm/W– Vida útil mínima: 30.000 horas– Grau de proteção: IP65– Temperatura de cor: 5.000K a 6.500K (branco frio)– Driver eletrônico com proteção contra surtos– Produto certificado conforme normas do INMETR</w:t>
                  </w:r>
                  <w:r>
                    <w:rPr>
                      <w:rFonts w:ascii="Courier New" w:eastAsia="Times New Roman" w:hAnsi="Courier New" w:cs="Courier New"/>
                      <w:color w:val="000000"/>
                      <w:sz w:val="16"/>
                      <w:szCs w:val="16"/>
                    </w:rPr>
                    <w:t>O– Garantia mínima: 12 meses</w:t>
                  </w:r>
                </w:p>
              </w:tc>
              <w:tc>
                <w:tcPr>
                  <w:tcW w:w="400" w:type="pct"/>
                  <w:tcBorders>
                    <w:top w:val="single" w:sz="8" w:space="0" w:color="C0C0C0"/>
                    <w:left w:val="single" w:sz="8" w:space="0" w:color="C0C0C0"/>
                    <w:bottom w:val="single" w:sz="8" w:space="0" w:color="C0C0C0"/>
                    <w:right w:val="single" w:sz="8" w:space="0" w:color="C0C0C0"/>
                  </w:tcBorders>
                  <w:hideMark/>
                </w:tcPr>
                <w:p w14:paraId="55C2D810" w14:textId="77777777" w:rsidR="00723D6B" w:rsidRDefault="00723D6B">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LP</w:t>
                  </w:r>
                </w:p>
              </w:tc>
              <w:tc>
                <w:tcPr>
                  <w:tcW w:w="400" w:type="pct"/>
                  <w:tcBorders>
                    <w:top w:val="single" w:sz="8" w:space="0" w:color="C0C0C0"/>
                    <w:left w:val="single" w:sz="8" w:space="0" w:color="C0C0C0"/>
                    <w:bottom w:val="single" w:sz="8" w:space="0" w:color="C0C0C0"/>
                    <w:right w:val="single" w:sz="8" w:space="0" w:color="C0C0C0"/>
                  </w:tcBorders>
                  <w:hideMark/>
                </w:tcPr>
                <w:p w14:paraId="2EE7AEBD" w14:textId="77777777" w:rsidR="00723D6B" w:rsidRDefault="00723D6B">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092742BC" w14:textId="77777777" w:rsidR="00723D6B" w:rsidRDefault="00723D6B">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500</w:t>
                  </w:r>
                </w:p>
              </w:tc>
            </w:tr>
            <w:tr w:rsidR="00000000" w14:paraId="330C76CC"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725A01BB" w14:textId="77777777" w:rsidR="00723D6B" w:rsidRDefault="00723D6B">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w:t>
                  </w:r>
                </w:p>
              </w:tc>
              <w:tc>
                <w:tcPr>
                  <w:tcW w:w="3150" w:type="pct"/>
                  <w:tcBorders>
                    <w:top w:val="single" w:sz="8" w:space="0" w:color="C0C0C0"/>
                    <w:left w:val="single" w:sz="8" w:space="0" w:color="C0C0C0"/>
                    <w:bottom w:val="single" w:sz="8" w:space="0" w:color="C0C0C0"/>
                    <w:right w:val="single" w:sz="8" w:space="0" w:color="C0C0C0"/>
                  </w:tcBorders>
                  <w:hideMark/>
                </w:tcPr>
                <w:p w14:paraId="02015222" w14:textId="77777777" w:rsidR="00723D6B" w:rsidRDefault="00723D6B">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Luminária LED para iluminação pública, indicada para vias de mé</w:t>
                  </w:r>
                  <w:r>
                    <w:rPr>
                      <w:rFonts w:ascii="Courier New" w:eastAsia="Times New Roman" w:hAnsi="Courier New" w:cs="Courier New"/>
                      <w:color w:val="000000"/>
                      <w:sz w:val="16"/>
                      <w:szCs w:val="16"/>
                    </w:rPr>
                    <w:t>dio porte, proporcionando uniformidade luminosa e redução de consumo energético.Especificações técnicas:– Potência nominal: 200W– Tensão: Bivolt automático– Fluxo luminoso mínimo: 20.000 lúmens– Eficiência luminosa: = 100 lm/W– Vida útil mínima: 30.000 horas– Grau de proteção: IP65– Temperatura de cor: branco frio (5.000K a 6.500K)– Driver de alta eficiência– Produto com certificação INMETRO– Garantia mínima: 12 meses</w:t>
                  </w:r>
                </w:p>
              </w:tc>
              <w:tc>
                <w:tcPr>
                  <w:tcW w:w="400" w:type="pct"/>
                  <w:tcBorders>
                    <w:top w:val="single" w:sz="8" w:space="0" w:color="C0C0C0"/>
                    <w:left w:val="single" w:sz="8" w:space="0" w:color="C0C0C0"/>
                    <w:bottom w:val="single" w:sz="8" w:space="0" w:color="C0C0C0"/>
                    <w:right w:val="single" w:sz="8" w:space="0" w:color="C0C0C0"/>
                  </w:tcBorders>
                  <w:hideMark/>
                </w:tcPr>
                <w:p w14:paraId="07B884BF" w14:textId="77777777" w:rsidR="00723D6B" w:rsidRDefault="00723D6B">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LP</w:t>
                  </w:r>
                </w:p>
              </w:tc>
              <w:tc>
                <w:tcPr>
                  <w:tcW w:w="400" w:type="pct"/>
                  <w:tcBorders>
                    <w:top w:val="single" w:sz="8" w:space="0" w:color="C0C0C0"/>
                    <w:left w:val="single" w:sz="8" w:space="0" w:color="C0C0C0"/>
                    <w:bottom w:val="single" w:sz="8" w:space="0" w:color="C0C0C0"/>
                    <w:right w:val="single" w:sz="8" w:space="0" w:color="C0C0C0"/>
                  </w:tcBorders>
                  <w:hideMark/>
                </w:tcPr>
                <w:p w14:paraId="4CC9552D" w14:textId="77777777" w:rsidR="00723D6B" w:rsidRDefault="00723D6B">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62D57C3F" w14:textId="77777777" w:rsidR="00723D6B" w:rsidRDefault="00723D6B">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400</w:t>
                  </w:r>
                </w:p>
              </w:tc>
            </w:tr>
            <w:tr w:rsidR="00000000" w14:paraId="70A14DAC"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003637E5" w14:textId="77777777" w:rsidR="00723D6B" w:rsidRDefault="00723D6B">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3</w:t>
                  </w:r>
                </w:p>
              </w:tc>
              <w:tc>
                <w:tcPr>
                  <w:tcW w:w="3150" w:type="pct"/>
                  <w:tcBorders>
                    <w:top w:val="single" w:sz="8" w:space="0" w:color="C0C0C0"/>
                    <w:left w:val="single" w:sz="8" w:space="0" w:color="C0C0C0"/>
                    <w:bottom w:val="single" w:sz="8" w:space="0" w:color="C0C0C0"/>
                    <w:right w:val="single" w:sz="8" w:space="0" w:color="C0C0C0"/>
                  </w:tcBorders>
                  <w:hideMark/>
                </w:tcPr>
                <w:p w14:paraId="3B0B001E" w14:textId="77777777" w:rsidR="00723D6B" w:rsidRDefault="00723D6B">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Luminária pública LED de alta potência, indicada para avenidas, áreas amplas e locais com grande fluxo.Especificações técnicas:– Potência nominal: 300W– Tensão: Bivolt automático– Fluxo luminoso mínimo: 30.000 lúmens– Eficiência luminosa: = 110 lm/W– Vida útil mínima: 40.000 horas– Grau de proteção: IP65 ou superior– Temperatura de cor: branco frio– Driver com proteção elétrica– Produto certificado pelo INMETRO– Garantia mínima: 12 meses</w:t>
                  </w:r>
                </w:p>
              </w:tc>
              <w:tc>
                <w:tcPr>
                  <w:tcW w:w="400" w:type="pct"/>
                  <w:tcBorders>
                    <w:top w:val="single" w:sz="8" w:space="0" w:color="C0C0C0"/>
                    <w:left w:val="single" w:sz="8" w:space="0" w:color="C0C0C0"/>
                    <w:bottom w:val="single" w:sz="8" w:space="0" w:color="C0C0C0"/>
                    <w:right w:val="single" w:sz="8" w:space="0" w:color="C0C0C0"/>
                  </w:tcBorders>
                  <w:hideMark/>
                </w:tcPr>
                <w:p w14:paraId="30105405" w14:textId="77777777" w:rsidR="00723D6B" w:rsidRDefault="00723D6B">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LP</w:t>
                  </w:r>
                </w:p>
              </w:tc>
              <w:tc>
                <w:tcPr>
                  <w:tcW w:w="400" w:type="pct"/>
                  <w:tcBorders>
                    <w:top w:val="single" w:sz="8" w:space="0" w:color="C0C0C0"/>
                    <w:left w:val="single" w:sz="8" w:space="0" w:color="C0C0C0"/>
                    <w:bottom w:val="single" w:sz="8" w:space="0" w:color="C0C0C0"/>
                    <w:right w:val="single" w:sz="8" w:space="0" w:color="C0C0C0"/>
                  </w:tcBorders>
                  <w:hideMark/>
                </w:tcPr>
                <w:p w14:paraId="7D7412DD" w14:textId="77777777" w:rsidR="00723D6B" w:rsidRDefault="00723D6B">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69049A53" w14:textId="77777777" w:rsidR="00723D6B" w:rsidRDefault="00723D6B">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300</w:t>
                  </w:r>
                </w:p>
              </w:tc>
            </w:tr>
            <w:tr w:rsidR="00000000" w14:paraId="46F56771"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772DB26C" w14:textId="77777777" w:rsidR="00723D6B" w:rsidRDefault="00723D6B">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4</w:t>
                  </w:r>
                </w:p>
              </w:tc>
              <w:tc>
                <w:tcPr>
                  <w:tcW w:w="3150" w:type="pct"/>
                  <w:tcBorders>
                    <w:top w:val="single" w:sz="8" w:space="0" w:color="C0C0C0"/>
                    <w:left w:val="single" w:sz="8" w:space="0" w:color="C0C0C0"/>
                    <w:bottom w:val="single" w:sz="8" w:space="0" w:color="C0C0C0"/>
                    <w:right w:val="single" w:sz="8" w:space="0" w:color="C0C0C0"/>
                  </w:tcBorders>
                  <w:hideMark/>
                </w:tcPr>
                <w:p w14:paraId="2F22CBA7" w14:textId="77777777" w:rsidR="00723D6B" w:rsidRDefault="00723D6B">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Refletor LED de alta potência para iluminação externa de quadras, pátios, fachadas e áreas abertas.Especificações técnicas:– Potência nominal: 600W– Tensão: Bivolt– Fluxo luminoso mínimo: 60.000 lúmens– Vida útil mínima: 30.000 horas– Grau de proteção: IP65– Temperatura de cor: branco frio– Suporte ajustável para fixação– Produto com certificação INMETRO– Garantia mínima: 12 meses</w:t>
                  </w:r>
                </w:p>
              </w:tc>
              <w:tc>
                <w:tcPr>
                  <w:tcW w:w="400" w:type="pct"/>
                  <w:tcBorders>
                    <w:top w:val="single" w:sz="8" w:space="0" w:color="C0C0C0"/>
                    <w:left w:val="single" w:sz="8" w:space="0" w:color="C0C0C0"/>
                    <w:bottom w:val="single" w:sz="8" w:space="0" w:color="C0C0C0"/>
                    <w:right w:val="single" w:sz="8" w:space="0" w:color="C0C0C0"/>
                  </w:tcBorders>
                  <w:hideMark/>
                </w:tcPr>
                <w:p w14:paraId="64EB873A" w14:textId="77777777" w:rsidR="00723D6B" w:rsidRDefault="00723D6B">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SANHE</w:t>
                  </w:r>
                </w:p>
              </w:tc>
              <w:tc>
                <w:tcPr>
                  <w:tcW w:w="400" w:type="pct"/>
                  <w:tcBorders>
                    <w:top w:val="single" w:sz="8" w:space="0" w:color="C0C0C0"/>
                    <w:left w:val="single" w:sz="8" w:space="0" w:color="C0C0C0"/>
                    <w:bottom w:val="single" w:sz="8" w:space="0" w:color="C0C0C0"/>
                    <w:right w:val="single" w:sz="8" w:space="0" w:color="C0C0C0"/>
                  </w:tcBorders>
                  <w:hideMark/>
                </w:tcPr>
                <w:p w14:paraId="3AAFB9CD" w14:textId="77777777" w:rsidR="00723D6B" w:rsidRDefault="00723D6B">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0277BF60" w14:textId="77777777" w:rsidR="00723D6B" w:rsidRDefault="00723D6B">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100</w:t>
                  </w:r>
                </w:p>
              </w:tc>
            </w:tr>
            <w:tr w:rsidR="00000000" w14:paraId="5AA9E366"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4F8E4247" w14:textId="77777777" w:rsidR="00723D6B" w:rsidRDefault="00723D6B">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w:t>
                  </w:r>
                </w:p>
              </w:tc>
              <w:tc>
                <w:tcPr>
                  <w:tcW w:w="3150" w:type="pct"/>
                  <w:tcBorders>
                    <w:top w:val="single" w:sz="8" w:space="0" w:color="C0C0C0"/>
                    <w:left w:val="single" w:sz="8" w:space="0" w:color="C0C0C0"/>
                    <w:bottom w:val="single" w:sz="8" w:space="0" w:color="C0C0C0"/>
                    <w:right w:val="single" w:sz="8" w:space="0" w:color="C0C0C0"/>
                  </w:tcBorders>
                  <w:hideMark/>
                </w:tcPr>
                <w:p w14:paraId="1F9181AD" w14:textId="77777777" w:rsidR="00723D6B" w:rsidRDefault="00723D6B">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Refletor LED de elevada potência, indicado para grandes áreas externas, eventos, estacionamentos e áreas industriais.Especificações técnicas:– Potência nominal: 800W– Tensão: Bivolt– Fluxo luminoso mínimo: 80.000 lúmens– Vida útil mínima: 40.000 horas– Grau de proteção: IP65– Temperatura de cor: branco frio– Produto certificado pelo INMETRO– Garantia mínima: 12 meses</w:t>
                  </w:r>
                </w:p>
              </w:tc>
              <w:tc>
                <w:tcPr>
                  <w:tcW w:w="400" w:type="pct"/>
                  <w:tcBorders>
                    <w:top w:val="single" w:sz="8" w:space="0" w:color="C0C0C0"/>
                    <w:left w:val="single" w:sz="8" w:space="0" w:color="C0C0C0"/>
                    <w:bottom w:val="single" w:sz="8" w:space="0" w:color="C0C0C0"/>
                    <w:right w:val="single" w:sz="8" w:space="0" w:color="C0C0C0"/>
                  </w:tcBorders>
                  <w:hideMark/>
                </w:tcPr>
                <w:p w14:paraId="2C288232" w14:textId="77777777" w:rsidR="00723D6B" w:rsidRDefault="00723D6B">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SANHE</w:t>
                  </w:r>
                </w:p>
              </w:tc>
              <w:tc>
                <w:tcPr>
                  <w:tcW w:w="400" w:type="pct"/>
                  <w:tcBorders>
                    <w:top w:val="single" w:sz="8" w:space="0" w:color="C0C0C0"/>
                    <w:left w:val="single" w:sz="8" w:space="0" w:color="C0C0C0"/>
                    <w:bottom w:val="single" w:sz="8" w:space="0" w:color="C0C0C0"/>
                    <w:right w:val="single" w:sz="8" w:space="0" w:color="C0C0C0"/>
                  </w:tcBorders>
                  <w:hideMark/>
                </w:tcPr>
                <w:p w14:paraId="2917826B" w14:textId="77777777" w:rsidR="00723D6B" w:rsidRDefault="00723D6B">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05F31CF0" w14:textId="77777777" w:rsidR="00723D6B" w:rsidRDefault="00723D6B">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80</w:t>
                  </w:r>
                </w:p>
              </w:tc>
            </w:tr>
            <w:tr w:rsidR="00000000" w14:paraId="3EECB91B"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4285B372" w14:textId="77777777" w:rsidR="00723D6B" w:rsidRDefault="00723D6B">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6</w:t>
                  </w:r>
                </w:p>
              </w:tc>
              <w:tc>
                <w:tcPr>
                  <w:tcW w:w="3150" w:type="pct"/>
                  <w:tcBorders>
                    <w:top w:val="single" w:sz="8" w:space="0" w:color="C0C0C0"/>
                    <w:left w:val="single" w:sz="8" w:space="0" w:color="C0C0C0"/>
                    <w:bottom w:val="single" w:sz="8" w:space="0" w:color="C0C0C0"/>
                    <w:right w:val="single" w:sz="8" w:space="0" w:color="C0C0C0"/>
                  </w:tcBorders>
                  <w:hideMark/>
                </w:tcPr>
                <w:p w14:paraId="1E41EBC4" w14:textId="77777777" w:rsidR="00723D6B" w:rsidRDefault="00723D6B">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Refletor LED de altíssima potência, destinado à iluminação de grandes á</w:t>
                  </w:r>
                  <w:r>
                    <w:rPr>
                      <w:rFonts w:ascii="Courier New" w:eastAsia="Times New Roman" w:hAnsi="Courier New" w:cs="Courier New"/>
                      <w:color w:val="000000"/>
                      <w:sz w:val="16"/>
                      <w:szCs w:val="16"/>
                    </w:rPr>
                    <w:t xml:space="preserve">reas </w:t>
                  </w:r>
                  <w:r>
                    <w:rPr>
                      <w:rFonts w:ascii="Courier New" w:eastAsia="Times New Roman" w:hAnsi="Courier New" w:cs="Courier New"/>
                      <w:color w:val="000000"/>
                      <w:sz w:val="16"/>
                      <w:szCs w:val="16"/>
                    </w:rPr>
                    <w:lastRenderedPageBreak/>
                    <w:t>externas, campos, pátios e áreas industriais.Especificações técnicas:– Potência nominal: 1000W– Tensão: Bivolt– Fluxo luminoso mínimo: 90.000 lúmens– Vida útil mínima: 40.000 horas– Grau de proteção: IP65 ou superior– Temperatura de cor: branco frio– Produto com certificação INMETRO– Garantia mínima: 12 meses</w:t>
                  </w:r>
                </w:p>
              </w:tc>
              <w:tc>
                <w:tcPr>
                  <w:tcW w:w="400" w:type="pct"/>
                  <w:tcBorders>
                    <w:top w:val="single" w:sz="8" w:space="0" w:color="C0C0C0"/>
                    <w:left w:val="single" w:sz="8" w:space="0" w:color="C0C0C0"/>
                    <w:bottom w:val="single" w:sz="8" w:space="0" w:color="C0C0C0"/>
                    <w:right w:val="single" w:sz="8" w:space="0" w:color="C0C0C0"/>
                  </w:tcBorders>
                  <w:hideMark/>
                </w:tcPr>
                <w:p w14:paraId="61FE7F64" w14:textId="77777777" w:rsidR="00723D6B" w:rsidRDefault="00723D6B">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lastRenderedPageBreak/>
                    <w:t>SANHE</w:t>
                  </w:r>
                </w:p>
              </w:tc>
              <w:tc>
                <w:tcPr>
                  <w:tcW w:w="400" w:type="pct"/>
                  <w:tcBorders>
                    <w:top w:val="single" w:sz="8" w:space="0" w:color="C0C0C0"/>
                    <w:left w:val="single" w:sz="8" w:space="0" w:color="C0C0C0"/>
                    <w:bottom w:val="single" w:sz="8" w:space="0" w:color="C0C0C0"/>
                    <w:right w:val="single" w:sz="8" w:space="0" w:color="C0C0C0"/>
                  </w:tcBorders>
                  <w:hideMark/>
                </w:tcPr>
                <w:p w14:paraId="7B69FA36" w14:textId="77777777" w:rsidR="00723D6B" w:rsidRDefault="00723D6B">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2BB0F67C" w14:textId="77777777" w:rsidR="00723D6B" w:rsidRDefault="00723D6B">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120</w:t>
                  </w:r>
                </w:p>
              </w:tc>
            </w:tr>
            <w:tr w:rsidR="00000000" w14:paraId="1FF451A4"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1A861448" w14:textId="77777777" w:rsidR="00723D6B" w:rsidRDefault="00723D6B">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7</w:t>
                  </w:r>
                </w:p>
              </w:tc>
              <w:tc>
                <w:tcPr>
                  <w:tcW w:w="3150" w:type="pct"/>
                  <w:tcBorders>
                    <w:top w:val="single" w:sz="8" w:space="0" w:color="C0C0C0"/>
                    <w:left w:val="single" w:sz="8" w:space="0" w:color="C0C0C0"/>
                    <w:bottom w:val="single" w:sz="8" w:space="0" w:color="C0C0C0"/>
                    <w:right w:val="single" w:sz="8" w:space="0" w:color="C0C0C0"/>
                  </w:tcBorders>
                  <w:hideMark/>
                </w:tcPr>
                <w:p w14:paraId="24C4CEF9" w14:textId="77777777" w:rsidR="00723D6B" w:rsidRDefault="00723D6B">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Lâmpada LED tipo bulbo de alta potência, indicada para iluminação de ambientes amplos.Especificações técnicas:– Potência nominal: 50W– Base: E27– Tensão: Bivolt– Fluxo luminoso mínimo: 4.500 lúmens– Vida útil mínima: 25.000 horas– Temperatura de cor: branco frio– Produto certificado pelo INMETRO– Garantia mínima: 12 meses</w:t>
                  </w:r>
                </w:p>
              </w:tc>
              <w:tc>
                <w:tcPr>
                  <w:tcW w:w="400" w:type="pct"/>
                  <w:tcBorders>
                    <w:top w:val="single" w:sz="8" w:space="0" w:color="C0C0C0"/>
                    <w:left w:val="single" w:sz="8" w:space="0" w:color="C0C0C0"/>
                    <w:bottom w:val="single" w:sz="8" w:space="0" w:color="C0C0C0"/>
                    <w:right w:val="single" w:sz="8" w:space="0" w:color="C0C0C0"/>
                  </w:tcBorders>
                  <w:hideMark/>
                </w:tcPr>
                <w:p w14:paraId="2D44DE81" w14:textId="77777777" w:rsidR="00723D6B" w:rsidRDefault="00723D6B">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LUMINA</w:t>
                  </w:r>
                </w:p>
              </w:tc>
              <w:tc>
                <w:tcPr>
                  <w:tcW w:w="400" w:type="pct"/>
                  <w:tcBorders>
                    <w:top w:val="single" w:sz="8" w:space="0" w:color="C0C0C0"/>
                    <w:left w:val="single" w:sz="8" w:space="0" w:color="C0C0C0"/>
                    <w:bottom w:val="single" w:sz="8" w:space="0" w:color="C0C0C0"/>
                    <w:right w:val="single" w:sz="8" w:space="0" w:color="C0C0C0"/>
                  </w:tcBorders>
                  <w:hideMark/>
                </w:tcPr>
                <w:p w14:paraId="4618CF9B" w14:textId="77777777" w:rsidR="00723D6B" w:rsidRDefault="00723D6B">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40E157DB" w14:textId="77777777" w:rsidR="00723D6B" w:rsidRDefault="00723D6B">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2000</w:t>
                  </w:r>
                </w:p>
              </w:tc>
            </w:tr>
            <w:tr w:rsidR="00000000" w14:paraId="4053AFA7"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7AECB553" w14:textId="77777777" w:rsidR="00723D6B" w:rsidRDefault="00723D6B">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8</w:t>
                  </w:r>
                </w:p>
              </w:tc>
              <w:tc>
                <w:tcPr>
                  <w:tcW w:w="3150" w:type="pct"/>
                  <w:tcBorders>
                    <w:top w:val="single" w:sz="8" w:space="0" w:color="C0C0C0"/>
                    <w:left w:val="single" w:sz="8" w:space="0" w:color="C0C0C0"/>
                    <w:bottom w:val="single" w:sz="8" w:space="0" w:color="C0C0C0"/>
                    <w:right w:val="single" w:sz="8" w:space="0" w:color="C0C0C0"/>
                  </w:tcBorders>
                  <w:hideMark/>
                </w:tcPr>
                <w:p w14:paraId="65F52C8F" w14:textId="77777777" w:rsidR="00723D6B" w:rsidRDefault="00723D6B">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Lâmpada LED bulbo de alta potência, indicada para galpões, áreas abertas e ambientes de grande pé–direito.Especificações técnicas:– Potência nominal: 100W– Base: E27– Tensão: Bivolt– Fluxo luminoso mínimo: 9.000 lúmens– Vida útil mínima: 25.000 horas– Temperatura de cor: branco frio– Produto com certificação INMETRO– Garantia mínima: 12 meses</w:t>
                  </w:r>
                </w:p>
              </w:tc>
              <w:tc>
                <w:tcPr>
                  <w:tcW w:w="400" w:type="pct"/>
                  <w:tcBorders>
                    <w:top w:val="single" w:sz="8" w:space="0" w:color="C0C0C0"/>
                    <w:left w:val="single" w:sz="8" w:space="0" w:color="C0C0C0"/>
                    <w:bottom w:val="single" w:sz="8" w:space="0" w:color="C0C0C0"/>
                    <w:right w:val="single" w:sz="8" w:space="0" w:color="C0C0C0"/>
                  </w:tcBorders>
                  <w:hideMark/>
                </w:tcPr>
                <w:p w14:paraId="09BB4A16" w14:textId="77777777" w:rsidR="00723D6B" w:rsidRDefault="00723D6B">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MTX</w:t>
                  </w:r>
                </w:p>
              </w:tc>
              <w:tc>
                <w:tcPr>
                  <w:tcW w:w="400" w:type="pct"/>
                  <w:tcBorders>
                    <w:top w:val="single" w:sz="8" w:space="0" w:color="C0C0C0"/>
                    <w:left w:val="single" w:sz="8" w:space="0" w:color="C0C0C0"/>
                    <w:bottom w:val="single" w:sz="8" w:space="0" w:color="C0C0C0"/>
                    <w:right w:val="single" w:sz="8" w:space="0" w:color="C0C0C0"/>
                  </w:tcBorders>
                  <w:hideMark/>
                </w:tcPr>
                <w:p w14:paraId="7115E330" w14:textId="77777777" w:rsidR="00723D6B" w:rsidRDefault="00723D6B">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6FB9A74A" w14:textId="77777777" w:rsidR="00723D6B" w:rsidRDefault="00723D6B">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1000</w:t>
                  </w:r>
                </w:p>
              </w:tc>
            </w:tr>
            <w:tr w:rsidR="00000000" w14:paraId="4FDCE332"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6586778D" w14:textId="77777777" w:rsidR="00723D6B" w:rsidRDefault="00723D6B">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9</w:t>
                  </w:r>
                </w:p>
              </w:tc>
              <w:tc>
                <w:tcPr>
                  <w:tcW w:w="3150" w:type="pct"/>
                  <w:tcBorders>
                    <w:top w:val="single" w:sz="8" w:space="0" w:color="C0C0C0"/>
                    <w:left w:val="single" w:sz="8" w:space="0" w:color="C0C0C0"/>
                    <w:bottom w:val="single" w:sz="8" w:space="0" w:color="C0C0C0"/>
                    <w:right w:val="single" w:sz="8" w:space="0" w:color="C0C0C0"/>
                  </w:tcBorders>
                  <w:hideMark/>
                </w:tcPr>
                <w:p w14:paraId="72A54CE9" w14:textId="77777777" w:rsidR="00723D6B" w:rsidRDefault="00723D6B">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Braço metálico para fixação de luminária pública em postes, adequado para uso externo.Especificações técnicas:– Comprimento: 1,5 metros– Material: aço carbono galvanizado– Sapata para fixação em poste– Pintura anticorrosiva– Compatível com luminárias LED públicas– Atende normas técnicas aplicáveis– Garantia mínima: 12 meses</w:t>
                  </w:r>
                </w:p>
              </w:tc>
              <w:tc>
                <w:tcPr>
                  <w:tcW w:w="400" w:type="pct"/>
                  <w:tcBorders>
                    <w:top w:val="single" w:sz="8" w:space="0" w:color="C0C0C0"/>
                    <w:left w:val="single" w:sz="8" w:space="0" w:color="C0C0C0"/>
                    <w:bottom w:val="single" w:sz="8" w:space="0" w:color="C0C0C0"/>
                    <w:right w:val="single" w:sz="8" w:space="0" w:color="C0C0C0"/>
                  </w:tcBorders>
                  <w:hideMark/>
                </w:tcPr>
                <w:p w14:paraId="4A848E0A" w14:textId="77777777" w:rsidR="00723D6B" w:rsidRDefault="00723D6B">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FORT</w:t>
                  </w:r>
                </w:p>
              </w:tc>
              <w:tc>
                <w:tcPr>
                  <w:tcW w:w="400" w:type="pct"/>
                  <w:tcBorders>
                    <w:top w:val="single" w:sz="8" w:space="0" w:color="C0C0C0"/>
                    <w:left w:val="single" w:sz="8" w:space="0" w:color="C0C0C0"/>
                    <w:bottom w:val="single" w:sz="8" w:space="0" w:color="C0C0C0"/>
                    <w:right w:val="single" w:sz="8" w:space="0" w:color="C0C0C0"/>
                  </w:tcBorders>
                  <w:hideMark/>
                </w:tcPr>
                <w:p w14:paraId="5A49F82A" w14:textId="77777777" w:rsidR="00723D6B" w:rsidRDefault="00723D6B">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62C237A0" w14:textId="77777777" w:rsidR="00723D6B" w:rsidRDefault="00723D6B">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100</w:t>
                  </w:r>
                </w:p>
              </w:tc>
            </w:tr>
            <w:tr w:rsidR="00000000" w14:paraId="0AC19813"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6804C87B" w14:textId="77777777" w:rsidR="00723D6B" w:rsidRDefault="00723D6B">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w:t>
                  </w:r>
                </w:p>
              </w:tc>
              <w:tc>
                <w:tcPr>
                  <w:tcW w:w="3150" w:type="pct"/>
                  <w:tcBorders>
                    <w:top w:val="single" w:sz="8" w:space="0" w:color="C0C0C0"/>
                    <w:left w:val="single" w:sz="8" w:space="0" w:color="C0C0C0"/>
                    <w:bottom w:val="single" w:sz="8" w:space="0" w:color="C0C0C0"/>
                    <w:right w:val="single" w:sz="8" w:space="0" w:color="C0C0C0"/>
                  </w:tcBorders>
                  <w:hideMark/>
                </w:tcPr>
                <w:p w14:paraId="1A8C164A" w14:textId="77777777" w:rsidR="00723D6B" w:rsidRDefault="00723D6B">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 xml:space="preserve">Braço metálico para fixação de luminária pública em postes, adequado para uso externo.Especificações técnicas:– </w:t>
                  </w:r>
                  <w:r>
                    <w:rPr>
                      <w:rFonts w:ascii="Courier New" w:eastAsia="Times New Roman" w:hAnsi="Courier New" w:cs="Courier New"/>
                      <w:color w:val="000000"/>
                      <w:sz w:val="16"/>
                      <w:szCs w:val="16"/>
                    </w:rPr>
                    <w:t>Comprimento: 2,0 metros– Material: aço carbono galvanizado– Sapata para fixação em poste– Pintura anticorrosiva– Compatível com luminárias LED públicas– Atende normas técnicas aplicáveis– Garantia mínima: 12 meses</w:t>
                  </w:r>
                </w:p>
              </w:tc>
              <w:tc>
                <w:tcPr>
                  <w:tcW w:w="400" w:type="pct"/>
                  <w:tcBorders>
                    <w:top w:val="single" w:sz="8" w:space="0" w:color="C0C0C0"/>
                    <w:left w:val="single" w:sz="8" w:space="0" w:color="C0C0C0"/>
                    <w:bottom w:val="single" w:sz="8" w:space="0" w:color="C0C0C0"/>
                    <w:right w:val="single" w:sz="8" w:space="0" w:color="C0C0C0"/>
                  </w:tcBorders>
                  <w:hideMark/>
                </w:tcPr>
                <w:p w14:paraId="0B3FD52D" w14:textId="77777777" w:rsidR="00723D6B" w:rsidRDefault="00723D6B">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FORT</w:t>
                  </w:r>
                </w:p>
              </w:tc>
              <w:tc>
                <w:tcPr>
                  <w:tcW w:w="400" w:type="pct"/>
                  <w:tcBorders>
                    <w:top w:val="single" w:sz="8" w:space="0" w:color="C0C0C0"/>
                    <w:left w:val="single" w:sz="8" w:space="0" w:color="C0C0C0"/>
                    <w:bottom w:val="single" w:sz="8" w:space="0" w:color="C0C0C0"/>
                    <w:right w:val="single" w:sz="8" w:space="0" w:color="C0C0C0"/>
                  </w:tcBorders>
                  <w:hideMark/>
                </w:tcPr>
                <w:p w14:paraId="2AE1CCFB" w14:textId="77777777" w:rsidR="00723D6B" w:rsidRDefault="00723D6B">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3381846A" w14:textId="77777777" w:rsidR="00723D6B" w:rsidRDefault="00723D6B">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500</w:t>
                  </w:r>
                </w:p>
              </w:tc>
            </w:tr>
            <w:tr w:rsidR="00000000" w14:paraId="5BFF5EE5"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3FF3C1E8" w14:textId="77777777" w:rsidR="00723D6B" w:rsidRDefault="00723D6B">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11</w:t>
                  </w:r>
                </w:p>
              </w:tc>
              <w:tc>
                <w:tcPr>
                  <w:tcW w:w="3150" w:type="pct"/>
                  <w:tcBorders>
                    <w:top w:val="single" w:sz="8" w:space="0" w:color="C0C0C0"/>
                    <w:left w:val="single" w:sz="8" w:space="0" w:color="C0C0C0"/>
                    <w:bottom w:val="single" w:sz="8" w:space="0" w:color="C0C0C0"/>
                    <w:right w:val="single" w:sz="8" w:space="0" w:color="C0C0C0"/>
                  </w:tcBorders>
                  <w:hideMark/>
                </w:tcPr>
                <w:p w14:paraId="0562B32F" w14:textId="77777777" w:rsidR="00723D6B" w:rsidRDefault="00723D6B">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Braço metálico para fixação de luminária pública em postes, adequado para uso externo.Especificações técnicas:– Comprimento: 2,5 metros– Material: aço carbono galvanizado– Sapata para fixação em poste– Pintura anticorrosiva– Compatível com luminárias LED públicas– Atende normas técnicas aplicáveis– Garantia mínima: 12 meses</w:t>
                  </w:r>
                </w:p>
              </w:tc>
              <w:tc>
                <w:tcPr>
                  <w:tcW w:w="400" w:type="pct"/>
                  <w:tcBorders>
                    <w:top w:val="single" w:sz="8" w:space="0" w:color="C0C0C0"/>
                    <w:left w:val="single" w:sz="8" w:space="0" w:color="C0C0C0"/>
                    <w:bottom w:val="single" w:sz="8" w:space="0" w:color="C0C0C0"/>
                    <w:right w:val="single" w:sz="8" w:space="0" w:color="C0C0C0"/>
                  </w:tcBorders>
                  <w:hideMark/>
                </w:tcPr>
                <w:p w14:paraId="3680B3A5" w14:textId="77777777" w:rsidR="00723D6B" w:rsidRDefault="00723D6B">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FORT</w:t>
                  </w:r>
                </w:p>
              </w:tc>
              <w:tc>
                <w:tcPr>
                  <w:tcW w:w="400" w:type="pct"/>
                  <w:tcBorders>
                    <w:top w:val="single" w:sz="8" w:space="0" w:color="C0C0C0"/>
                    <w:left w:val="single" w:sz="8" w:space="0" w:color="C0C0C0"/>
                    <w:bottom w:val="single" w:sz="8" w:space="0" w:color="C0C0C0"/>
                    <w:right w:val="single" w:sz="8" w:space="0" w:color="C0C0C0"/>
                  </w:tcBorders>
                  <w:hideMark/>
                </w:tcPr>
                <w:p w14:paraId="027882CF" w14:textId="77777777" w:rsidR="00723D6B" w:rsidRDefault="00723D6B">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643EE5B6" w14:textId="77777777" w:rsidR="00723D6B" w:rsidRDefault="00723D6B">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300</w:t>
                  </w:r>
                </w:p>
              </w:tc>
            </w:tr>
            <w:tr w:rsidR="00000000" w14:paraId="733B7AAE" w14:textId="77777777">
              <w:tc>
                <w:tcPr>
                  <w:tcW w:w="3400" w:type="pct"/>
                  <w:gridSpan w:val="2"/>
                  <w:tcBorders>
                    <w:top w:val="single" w:sz="8" w:space="0" w:color="C0C0C0"/>
                    <w:left w:val="single" w:sz="8" w:space="0" w:color="C0C0C0"/>
                    <w:bottom w:val="single" w:sz="8" w:space="0" w:color="C0C0C0"/>
                    <w:right w:val="single" w:sz="8" w:space="0" w:color="C0C0C0"/>
                  </w:tcBorders>
                  <w:hideMark/>
                </w:tcPr>
                <w:p w14:paraId="6EE8579F" w14:textId="77777777" w:rsidR="00723D6B" w:rsidRDefault="00723D6B">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Total do Lote 1 </w:t>
                  </w:r>
                </w:p>
              </w:tc>
              <w:tc>
                <w:tcPr>
                  <w:tcW w:w="1200" w:type="pct"/>
                  <w:gridSpan w:val="3"/>
                  <w:tcBorders>
                    <w:top w:val="single" w:sz="8" w:space="0" w:color="C0C0C0"/>
                    <w:left w:val="single" w:sz="8" w:space="0" w:color="C0C0C0"/>
                    <w:bottom w:val="single" w:sz="8" w:space="0" w:color="C0C0C0"/>
                    <w:right w:val="single" w:sz="8" w:space="0" w:color="C0C0C0"/>
                  </w:tcBorders>
                  <w:hideMark/>
                </w:tcPr>
                <w:p w14:paraId="62766632" w14:textId="77777777" w:rsidR="00723D6B" w:rsidRDefault="00723D6B">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425.000,00</w:t>
                  </w:r>
                </w:p>
              </w:tc>
            </w:tr>
          </w:tbl>
          <w:p w14:paraId="4BDE6257" w14:textId="77777777" w:rsidR="00723D6B" w:rsidRDefault="00723D6B">
            <w:pPr>
              <w:pStyle w:val="NormalWeb"/>
            </w:pPr>
            <w:r>
              <w:t> </w:t>
            </w:r>
          </w:p>
          <w:p w14:paraId="2D6F8AA2" w14:textId="77777777" w:rsidR="00723D6B" w:rsidRDefault="00723D6B">
            <w:pPr>
              <w:pStyle w:val="Ttulo2"/>
              <w:rPr>
                <w:rFonts w:eastAsia="Times New Roman"/>
              </w:rPr>
            </w:pPr>
            <w:r>
              <w:rPr>
                <w:rFonts w:eastAsia="Times New Roman"/>
              </w:rPr>
              <w:t>CLÁUSULA PRIMEIRA - DA VALIDADE DOS PREÇOS:</w:t>
            </w:r>
          </w:p>
          <w:p w14:paraId="2B263953" w14:textId="77777777" w:rsidR="00723D6B" w:rsidRDefault="00723D6B">
            <w:pPr>
              <w:pStyle w:val="NormalWeb"/>
            </w:pPr>
            <w:r>
              <w:t>O prazo de vigência da Ata de Registro de Preços será de um ano, contado do primeiro dia útil subsequente à data de divulgação no Portal Nacional de Contratações Públicas PNCP, e poderá ser prorrogado por igual período, desde que comprovado que o preço é vantajoso. Em caso de prorrogação desta Ata, poderá ser renovado o quantitativo originalmente registrado.</w:t>
            </w:r>
          </w:p>
          <w:p w14:paraId="74720223" w14:textId="77777777" w:rsidR="00723D6B" w:rsidRDefault="00723D6B">
            <w:pPr>
              <w:pStyle w:val="NormalWeb"/>
            </w:pPr>
            <w:r>
              <w:t> </w:t>
            </w:r>
          </w:p>
          <w:p w14:paraId="54C8E283" w14:textId="77777777" w:rsidR="00723D6B" w:rsidRDefault="00723D6B">
            <w:pPr>
              <w:pStyle w:val="NormalWeb"/>
            </w:pPr>
            <w:r>
              <w:t>A existência de preços registrados implicará compromisso de fornecimento nas condições estabelecidas, mas não obrigará a Administração a contratar, facultada a realização de licitação específica para a contratação pretendida, desde que devidamente justificada.</w:t>
            </w:r>
          </w:p>
          <w:p w14:paraId="39A6A7B6" w14:textId="77777777" w:rsidR="00723D6B" w:rsidRDefault="00723D6B">
            <w:pPr>
              <w:pStyle w:val="NormalWeb"/>
            </w:pPr>
            <w:r>
              <w:t> </w:t>
            </w:r>
          </w:p>
          <w:p w14:paraId="497CCF14" w14:textId="77777777" w:rsidR="00723D6B" w:rsidRDefault="00723D6B">
            <w:pPr>
              <w:pStyle w:val="Ttulo2"/>
              <w:rPr>
                <w:rFonts w:eastAsia="Times New Roman"/>
              </w:rPr>
            </w:pPr>
            <w:r>
              <w:rPr>
                <w:rFonts w:eastAsia="Times New Roman"/>
              </w:rPr>
              <w:t>CLÁUSULA SEGUNDA - DA UTILIZAÇÃO DA ATA DE REGISTRO DE PREÇOS:</w:t>
            </w:r>
          </w:p>
          <w:p w14:paraId="54210390" w14:textId="77777777" w:rsidR="00723D6B" w:rsidRDefault="00723D6B">
            <w:pPr>
              <w:pStyle w:val="NormalWeb"/>
            </w:pPr>
            <w:r>
              <w:t>A cada efetivação da contrataçã</w:t>
            </w:r>
            <w:r>
              <w:t>o do objeto registrado decorrente desta Ata, devidamente formalizada através do correspondente Contrato, serão observadas as cláusulas e condições constantes do Edital de licitação que a precedeu, relativamente ao Pregão Eletrônico nº 00001/2026, parte integrante deste instrumento de compromisso. A presente Ata de Registro de Preços, durante sua vigência poderá ser utilizada:</w:t>
            </w:r>
          </w:p>
          <w:p w14:paraId="1192883A" w14:textId="77777777" w:rsidR="00723D6B" w:rsidRDefault="00723D6B">
            <w:pPr>
              <w:pStyle w:val="NormalWeb"/>
            </w:pPr>
            <w:r>
              <w:t> </w:t>
            </w:r>
          </w:p>
          <w:p w14:paraId="3D80D58A" w14:textId="77777777" w:rsidR="00723D6B" w:rsidRDefault="00723D6B">
            <w:pPr>
              <w:pStyle w:val="NormalWeb"/>
            </w:pPr>
            <w:r>
              <w:t>Pela Prefeitura Municipal de Riachão do Bacamarte, que também é o órgão gerenciador responsável pela administração e controle desta Ata, representada pela sua estrutura organizacional definida no respectivo orçamento programa.</w:t>
            </w:r>
          </w:p>
          <w:p w14:paraId="128CD904" w14:textId="77777777" w:rsidR="00723D6B" w:rsidRDefault="00723D6B">
            <w:pPr>
              <w:pStyle w:val="NormalWeb"/>
            </w:pPr>
            <w:r>
              <w:t> </w:t>
            </w:r>
          </w:p>
          <w:p w14:paraId="406E25AD" w14:textId="77777777" w:rsidR="00723D6B" w:rsidRDefault="00723D6B">
            <w:pPr>
              <w:pStyle w:val="NormalWeb"/>
            </w:pPr>
            <w:r>
              <w:t>Por órgãos ou entidades da administração pública, observadas as disposições do Pregão Eletrônico nº 00001/2026, que fizerem adesão a esta Ata, mediante a consulta e a anuência do órgão gerenciador.</w:t>
            </w:r>
          </w:p>
          <w:p w14:paraId="5CA832AA" w14:textId="77777777" w:rsidR="00723D6B" w:rsidRDefault="00723D6B">
            <w:pPr>
              <w:pStyle w:val="NormalWeb"/>
            </w:pPr>
            <w:r>
              <w:t>Os órgãos e entidades que não participaram do registro de preços, quando desejarem fazer uso da ata de registro de preços, deverão consultar o órgão gerenciador da ata para manifestação sobre a possibilidade de adesão;</w:t>
            </w:r>
          </w:p>
          <w:p w14:paraId="3BAC9546" w14:textId="77777777" w:rsidR="00723D6B" w:rsidRDefault="00723D6B">
            <w:pPr>
              <w:pStyle w:val="NormalWeb"/>
            </w:pPr>
            <w:r>
              <w:lastRenderedPageBreak/>
              <w:t>Caberá ao fornecedor beneficiário da ata de registro de preços, observadas as condições nela estabelecidas, optar pela aceitação ou não do fornecimento decorrente de adesão, desde que não prejudique as obrigações presentes e futuras decorrentes da ata, assumidas com o órgão gerenciador e órgãos participantes;</w:t>
            </w:r>
          </w:p>
          <w:p w14:paraId="66E77F63" w14:textId="77777777" w:rsidR="00723D6B" w:rsidRDefault="00723D6B">
            <w:pPr>
              <w:pStyle w:val="NormalWeb"/>
            </w:pPr>
            <w:r>
              <w:t>As aquisições ou as contratações adicionais mediante adesão à ata não poderão exceder, por órgão ou entidade, a cinquenta por cento do quantitativo do lote do instrumento convocatório e registrado na ata do registro de preços para o órgão gerenciador e órgãos participantes;</w:t>
            </w:r>
          </w:p>
          <w:p w14:paraId="5A0ED473" w14:textId="77777777" w:rsidR="00723D6B" w:rsidRDefault="00723D6B">
            <w:pPr>
              <w:pStyle w:val="NormalWeb"/>
            </w:pPr>
            <w:r>
              <w:t>O quantitativo decorrente das adesões à ata não poderá exceder, na totalidade, ao dobro do quantitativo de cada lote registrado na ata de registro de preços para o órgão gerenciador e órgãos participantes, independentemente do número de órgãos não participantes que aderirem;</w:t>
            </w:r>
          </w:p>
          <w:p w14:paraId="05F937AB" w14:textId="77777777" w:rsidR="00723D6B" w:rsidRDefault="00723D6B">
            <w:pPr>
              <w:pStyle w:val="NormalWeb"/>
            </w:pPr>
            <w:r>
              <w:t>Após a autorização do órgão gerenciador, o órgão não participante deverá efetivar a aquisição ou contratação solicitada em até noventa dias, observado o prazo de vigência da ata de registro de preços;</w:t>
            </w:r>
          </w:p>
          <w:p w14:paraId="44D94036" w14:textId="77777777" w:rsidR="00723D6B" w:rsidRDefault="00723D6B">
            <w:pPr>
              <w:pStyle w:val="NormalWeb"/>
            </w:pPr>
            <w:r>
              <w:t>Compete ao órgão não participante os atos relativos à cobrança do cumprimento pelo fornecedor das obrigações contratualmente assumidas e a aplicação, observada a ampla defesa e o contraditório, de eventuais penalidades decorrentes do descumprimento de cláusulas contratuais, em relação às suas próprias contratações, informando as ocorrências ao órgão gerenciador.</w:t>
            </w:r>
          </w:p>
          <w:p w14:paraId="5D812E15" w14:textId="77777777" w:rsidR="00723D6B" w:rsidRDefault="00723D6B">
            <w:pPr>
              <w:pStyle w:val="NormalWeb"/>
            </w:pPr>
            <w:r>
              <w:t>O usuário da ata, sempre que desejar efetivar a contratação do objeto registrado, fará através de solicitação ao gerenciador do sistema de registro de preços, mediante processo regular.</w:t>
            </w:r>
          </w:p>
          <w:p w14:paraId="3FD1CCFF" w14:textId="77777777" w:rsidR="00723D6B" w:rsidRDefault="00723D6B">
            <w:pPr>
              <w:pStyle w:val="NormalWeb"/>
            </w:pPr>
            <w:r>
              <w:t> </w:t>
            </w:r>
          </w:p>
          <w:p w14:paraId="6EB225A8" w14:textId="77777777" w:rsidR="00723D6B" w:rsidRDefault="00723D6B">
            <w:pPr>
              <w:pStyle w:val="Ttulo2"/>
              <w:rPr>
                <w:rFonts w:eastAsia="Times New Roman"/>
              </w:rPr>
            </w:pPr>
            <w:r>
              <w:rPr>
                <w:rFonts w:eastAsia="Times New Roman"/>
              </w:rPr>
              <w:t>CLÁUSULA TERCEIRA - DA CONTRATAÇÃO:</w:t>
            </w:r>
          </w:p>
          <w:p w14:paraId="435B81C3" w14:textId="77777777" w:rsidR="00723D6B" w:rsidRDefault="00723D6B">
            <w:pPr>
              <w:pStyle w:val="NormalWeb"/>
            </w:pPr>
            <w:r>
              <w:t>As obrigações decorrentes da execução do objeto deste certame, constantes da Ata de Registro de Preços, serão firmadas com o fornecedor registrado, observadas as condições estabelecidas no presente instrumento e a contração será formalizada por intermédio do Contrato.</w:t>
            </w:r>
          </w:p>
          <w:p w14:paraId="288DE6B0" w14:textId="77777777" w:rsidR="00723D6B" w:rsidRDefault="00723D6B">
            <w:pPr>
              <w:pStyle w:val="NormalWeb"/>
            </w:pPr>
            <w:r>
              <w:t>O prazo para assinatura do Contrato, será de 05 (cinco) dias consecutivos, considerados da data da convocação.</w:t>
            </w:r>
          </w:p>
          <w:p w14:paraId="66D7C766" w14:textId="77777777" w:rsidR="00723D6B" w:rsidRDefault="00723D6B">
            <w:pPr>
              <w:pStyle w:val="NormalWeb"/>
            </w:pPr>
            <w:r>
              <w:t>O quantitativo do objeto a ser executado será exclusivamente o fixado no correspondente Contrato e observará, obrigatoriamente, o valor registrado na respectiva Ata.</w:t>
            </w:r>
          </w:p>
          <w:p w14:paraId="7F098F9C" w14:textId="77777777" w:rsidR="00723D6B" w:rsidRDefault="00723D6B">
            <w:pPr>
              <w:pStyle w:val="NormalWeb"/>
            </w:pPr>
            <w:r>
              <w:t>Não atendendo à convocação para assinar o Contrato, e ocorrendo essa dentro do prazo de validade da Ata de Registro de Preços, o licitante perderá todos os direitos que porventura tenha obtido como vencedor da licitação.</w:t>
            </w:r>
          </w:p>
          <w:p w14:paraId="2CD741AB" w14:textId="77777777" w:rsidR="00723D6B" w:rsidRDefault="00723D6B">
            <w:pPr>
              <w:pStyle w:val="NormalWeb"/>
            </w:pPr>
            <w:r>
              <w:t>É permitido ao Órgão Realizador do Certame, no caso do licitante vencedor não comparecer para assinar o Contrato no prazo e condições estabelecidos, convocar os licitantes remanescentes, na ordem de classificação e sucessivamente, para fazê-lo em igual prazo do licitante vencedor, aplicadas aos faltosos as penalidades cabíveis.</w:t>
            </w:r>
          </w:p>
          <w:p w14:paraId="58FF0979" w14:textId="77777777" w:rsidR="00723D6B" w:rsidRDefault="00723D6B">
            <w:pPr>
              <w:pStyle w:val="NormalWeb"/>
            </w:pPr>
            <w:r>
              <w:t>O Contrato decorrente do presente certame, deverá ser assinado no prazo de validade da respectiva Ata de Registro de Preços; e aquele que eventualmente venha a ser assinado pelo licitante vencedor, poderá ser alterado com a devida justificativa, unilateralmente pelo Contratante ou por acordo entre as partes, nos casos e condições previstas nos Arts. 124 a 136; e sua extinção, formalmente motivada nos autos do processo, assegurados o contraditório e a ampla defesa, ocorrerá nas hipóteses e disposições dos Ar</w:t>
            </w:r>
            <w:r>
              <w:t>ts. 137 a 139, todos da Lei 14.133/21.</w:t>
            </w:r>
          </w:p>
          <w:p w14:paraId="4B1B4451" w14:textId="77777777" w:rsidR="00723D6B" w:rsidRDefault="00723D6B">
            <w:pPr>
              <w:pStyle w:val="NormalWeb"/>
            </w:pPr>
            <w:r>
              <w:t> </w:t>
            </w:r>
          </w:p>
          <w:p w14:paraId="7018BDB3" w14:textId="77777777" w:rsidR="00723D6B" w:rsidRDefault="00723D6B">
            <w:pPr>
              <w:pStyle w:val="Ttulo2"/>
              <w:rPr>
                <w:rFonts w:eastAsia="Times New Roman"/>
              </w:rPr>
            </w:pPr>
            <w:r>
              <w:rPr>
                <w:rFonts w:eastAsia="Times New Roman"/>
              </w:rPr>
              <w:t>CLÁUSULA QUARTA - DAS SANÇÕES ADMINISTRATIVAS:</w:t>
            </w:r>
          </w:p>
          <w:p w14:paraId="003279E9" w14:textId="77777777" w:rsidR="00723D6B" w:rsidRDefault="00723D6B">
            <w:pPr>
              <w:pStyle w:val="NormalWeb"/>
            </w:pPr>
            <w:r>
              <w:t>O Contratado será responsabilizado administrativamente, facultada a defesa no prazo legal do interessado, pelas infrações previstas no Art. 155, da Lei 14.133/21 e serão aplicadas, na forma, condições, regras, prazos e procedimentos definidos nos Arts. 156 a 163, do mesmo diploma legal, as seguintes sanções: a – advertência aplicada exclusivamente pela infração administrativa de dar causa à inexecução parcial do contrato, quando não se justificar a imposição de penalidade mais grave; b – multa de mora de 0,</w:t>
            </w:r>
            <w:r>
              <w:t>5% (zero vírgula cinco por cento) aplicada sobre o valor do contrato, por dia de atraso injustificado na execução do objeto da contratação; c – multa de 10% (dez por cento) sobre o valor do contrato por qualquer das infrações administrativas previstas no referido Art. 155; d – impedimento de licitar e contatar no âmbito da Administração Pública direta e indireta do ente federativo que tiver aplicado a sanção, pelo prazo máximo de três anos, aplicada ao responsável pelas infrações administrativas previstas n</w:t>
            </w:r>
            <w:r>
              <w:t>os incisos II, III, IV, V, VI e VII do caput do referido Art. 155, quando não se justificar a imposição de penalidade mais grave; e – declaração de inidoneidade para licitar ou contratar no âmbito da Administração Pública direta e indireta de todos os entes federativos, pelo prazo mínimo de três anos e máximo de seis anos, aplicada ao responsável pelas infrações administrativas previstas nos incisos VIII, IX, X, XI e XII do caput do referido Art. 155, bem como pelas infrações administrativas previstas nos i</w:t>
            </w:r>
            <w:r>
              <w:t>ncisos II, III, IV, V, VI e VII do caput do mesmo artigo que justifiquem a imposição de penalidade mais grave que a sanção referida no § 4º do referido Art. 156; f – aplicação cumulada de outras sanções previstas na Lei 14.133/21.</w:t>
            </w:r>
          </w:p>
          <w:p w14:paraId="2B7B991E" w14:textId="77777777" w:rsidR="00723D6B" w:rsidRDefault="00723D6B">
            <w:pPr>
              <w:pStyle w:val="NormalWeb"/>
            </w:pPr>
            <w:r>
              <w:t>Se o valor da multa ou indenização devida não for recolhido no prazo de 15 (quinze) dias após a comunicação ao Contratado, será automaticamente descontado da primeira parcela do pagamento a que o Contratado vier a fazer jus, acrescido de juros moratórios de 1% (um por cento) ao mês, ou, quando for o caso, cobrado judicialmente.</w:t>
            </w:r>
          </w:p>
          <w:p w14:paraId="3FADD397" w14:textId="77777777" w:rsidR="00723D6B" w:rsidRDefault="00723D6B">
            <w:pPr>
              <w:pStyle w:val="NormalWeb"/>
            </w:pPr>
            <w:r>
              <w:t> </w:t>
            </w:r>
          </w:p>
          <w:p w14:paraId="0A9B18DB" w14:textId="77777777" w:rsidR="00723D6B" w:rsidRDefault="00723D6B">
            <w:pPr>
              <w:pStyle w:val="Ttulo2"/>
              <w:rPr>
                <w:rFonts w:eastAsia="Times New Roman"/>
              </w:rPr>
            </w:pPr>
            <w:r>
              <w:rPr>
                <w:rFonts w:eastAsia="Times New Roman"/>
              </w:rPr>
              <w:t>CLÁUSULA QUINTA - DAS DISPOSIÇÕES GERAIS:</w:t>
            </w:r>
          </w:p>
          <w:p w14:paraId="7B154A98" w14:textId="77777777" w:rsidR="00723D6B" w:rsidRDefault="00723D6B">
            <w:pPr>
              <w:pStyle w:val="NormalWeb"/>
            </w:pPr>
            <w:r>
              <w:t>Integram esta Ata, o Edital do Pregão Eletrônico nº 00001/2026 e seus anexos, e a seguinte proposta vencedora do referido certame:</w:t>
            </w:r>
          </w:p>
          <w:p w14:paraId="7ADB9C88" w14:textId="77777777" w:rsidR="00723D6B" w:rsidRDefault="00723D6B">
            <w:pPr>
              <w:pStyle w:val="NormalWeb"/>
            </w:pPr>
            <w:r>
              <w:t> </w:t>
            </w:r>
          </w:p>
          <w:p w14:paraId="5610FC39" w14:textId="77777777" w:rsidR="00723D6B" w:rsidRDefault="00723D6B">
            <w:pPr>
              <w:pStyle w:val="NormalWeb"/>
            </w:pPr>
            <w:r>
              <w:t>- H7 COMERCIO E SERVICOS EIRELI.</w:t>
            </w:r>
          </w:p>
          <w:p w14:paraId="64A9096C" w14:textId="77777777" w:rsidR="00723D6B" w:rsidRDefault="00723D6B">
            <w:pPr>
              <w:pStyle w:val="NormalWeb"/>
            </w:pPr>
            <w:r>
              <w:t>15.360.195/0001-58</w:t>
            </w:r>
          </w:p>
          <w:p w14:paraId="43DB5198" w14:textId="77777777" w:rsidR="00723D6B" w:rsidRDefault="00723D6B">
            <w:pPr>
              <w:pStyle w:val="NormalWeb"/>
            </w:pPr>
            <w:r>
              <w:t>Lote(s): 1.</w:t>
            </w:r>
          </w:p>
          <w:p w14:paraId="4FD61A7F" w14:textId="77777777" w:rsidR="00723D6B" w:rsidRDefault="00723D6B">
            <w:pPr>
              <w:pStyle w:val="NormalWeb"/>
            </w:pPr>
            <w:r>
              <w:t>Valor: R$ 425.000,00</w:t>
            </w:r>
          </w:p>
          <w:p w14:paraId="63C351A7" w14:textId="77777777" w:rsidR="00723D6B" w:rsidRDefault="00723D6B">
            <w:pPr>
              <w:pStyle w:val="NormalWeb"/>
            </w:pPr>
            <w:r>
              <w:t> </w:t>
            </w:r>
          </w:p>
          <w:p w14:paraId="57205380" w14:textId="77777777" w:rsidR="00723D6B" w:rsidRDefault="00723D6B">
            <w:pPr>
              <w:pStyle w:val="Ttulo2"/>
              <w:rPr>
                <w:rFonts w:eastAsia="Times New Roman"/>
              </w:rPr>
            </w:pPr>
            <w:r>
              <w:rPr>
                <w:rFonts w:eastAsia="Times New Roman"/>
              </w:rPr>
              <w:t>CLÁUSULA SEXTA - DO FORO:</w:t>
            </w:r>
          </w:p>
          <w:p w14:paraId="0E303B8E" w14:textId="77777777" w:rsidR="00723D6B" w:rsidRDefault="00723D6B">
            <w:pPr>
              <w:pStyle w:val="NormalWeb"/>
            </w:pPr>
            <w:r>
              <w:lastRenderedPageBreak/>
              <w:t>Para dirimir as questões decorrentes da utilização da presente Ata, fica eleito o Foro da Comarca de Ingá.</w:t>
            </w:r>
          </w:p>
          <w:p w14:paraId="6B697932" w14:textId="77777777" w:rsidR="00723D6B" w:rsidRDefault="00723D6B">
            <w:pPr>
              <w:pStyle w:val="NormalWeb"/>
            </w:pPr>
            <w:r>
              <w:t> </w:t>
            </w:r>
          </w:p>
          <w:p w14:paraId="485B5F5C" w14:textId="77777777" w:rsidR="00723D6B" w:rsidRDefault="00723D6B">
            <w:pPr>
              <w:pStyle w:val="NormalWeb"/>
              <w:jc w:val="right"/>
            </w:pPr>
            <w:r>
              <w:t>Riachao do Bacamarte - PB, 02 de Março de 2026</w:t>
            </w:r>
          </w:p>
          <w:p w14:paraId="74663159" w14:textId="77777777" w:rsidR="00723D6B" w:rsidRDefault="00723D6B">
            <w:pPr>
              <w:pStyle w:val="NormalWeb"/>
              <w:jc w:val="right"/>
            </w:pPr>
            <w:r>
              <w:t>JOSE DE ARIMATEA DA SILVA - Prefeito</w:t>
            </w:r>
          </w:p>
        </w:tc>
      </w:tr>
    </w:tbl>
    <w:p w14:paraId="3FFA4673" w14:textId="77777777" w:rsidR="00723D6B" w:rsidRDefault="00723D6B">
      <w:pPr>
        <w:pStyle w:val="NormalWeb"/>
      </w:pPr>
      <w:r>
        <w:lastRenderedPageBreak/>
        <w:t> </w:t>
      </w:r>
    </w:p>
    <w:p w14:paraId="7F6D70A8" w14:textId="77777777" w:rsidR="00723D6B" w:rsidRDefault="00723D6B">
      <w:pPr>
        <w:pStyle w:val="NormalWeb"/>
      </w:pPr>
      <w:r>
        <w:t> </w:t>
      </w:r>
    </w:p>
    <w:p w14:paraId="2487D6CB" w14:textId="77777777" w:rsidR="00723D6B" w:rsidRDefault="00723D6B">
      <w:pPr>
        <w:pStyle w:val="NormalWeb"/>
      </w:pPr>
      <w:r>
        <w:t> </w:t>
      </w:r>
    </w:p>
    <w:p w14:paraId="0A47E3AB" w14:textId="77777777" w:rsidR="00723D6B" w:rsidRDefault="00723D6B">
      <w:pPr>
        <w:pStyle w:val="NormalWeb"/>
      </w:pPr>
      <w:r>
        <w:t> </w:t>
      </w:r>
    </w:p>
    <w:p w14:paraId="02F5DA43" w14:textId="77777777" w:rsidR="00723D6B" w:rsidRDefault="00723D6B">
      <w:pPr>
        <w:pStyle w:val="NormalWeb"/>
      </w:pPr>
      <w:r>
        <w:t> </w:t>
      </w:r>
    </w:p>
    <w:p w14:paraId="2CC2E63A" w14:textId="77777777" w:rsidR="00723D6B" w:rsidRDefault="00723D6B">
      <w:pPr>
        <w:pStyle w:val="NormalWeb"/>
      </w:pPr>
      <w:r>
        <w:t> </w:t>
      </w:r>
    </w:p>
    <w:p w14:paraId="4C070727" w14:textId="77777777" w:rsidR="00723D6B" w:rsidRDefault="00723D6B">
      <w:pPr>
        <w:pStyle w:val="NormalWeb"/>
      </w:pPr>
      <w:r>
        <w:t> </w:t>
      </w:r>
    </w:p>
    <w:p w14:paraId="44AA49F8" w14:textId="77777777" w:rsidR="00723D6B" w:rsidRDefault="00723D6B">
      <w:pPr>
        <w:pStyle w:val="NormalWeb"/>
      </w:pPr>
      <w:r>
        <w:t> </w:t>
      </w:r>
    </w:p>
    <w:p w14:paraId="53E49106" w14:textId="77777777" w:rsidR="00723D6B" w:rsidRDefault="00723D6B">
      <w:pPr>
        <w:pStyle w:val="NormalWeb"/>
      </w:pPr>
      <w:r>
        <w:t> </w:t>
      </w:r>
    </w:p>
    <w:p w14:paraId="029C7C88" w14:textId="77777777" w:rsidR="00723D6B" w:rsidRDefault="00723D6B">
      <w:pPr>
        <w:pStyle w:val="NormalWeb"/>
      </w:pPr>
      <w:r>
        <w:t> </w:t>
      </w:r>
    </w:p>
    <w:p w14:paraId="48622FB8" w14:textId="77777777" w:rsidR="00723D6B" w:rsidRDefault="00723D6B">
      <w:pPr>
        <w:pStyle w:val="NormalWeb"/>
      </w:pPr>
      <w:r>
        <w:t> </w:t>
      </w:r>
    </w:p>
    <w:p w14:paraId="79CD762B" w14:textId="77777777" w:rsidR="00723D6B" w:rsidRDefault="00723D6B">
      <w:pPr>
        <w:pStyle w:val="NormalWeb"/>
      </w:pPr>
      <w:r>
        <w:t> </w:t>
      </w:r>
    </w:p>
    <w:p w14:paraId="5A3B35AC" w14:textId="77777777" w:rsidR="00723D6B" w:rsidRDefault="00723D6B">
      <w:pPr>
        <w:pStyle w:val="NormalWeb"/>
      </w:pPr>
      <w:r>
        <w:t> </w:t>
      </w:r>
    </w:p>
    <w:p w14:paraId="2C86F09C" w14:textId="77777777" w:rsidR="00723D6B" w:rsidRDefault="00723D6B">
      <w:pPr>
        <w:pStyle w:val="NormalWeb"/>
      </w:pPr>
      <w:r>
        <w:t> </w:t>
      </w:r>
    </w:p>
    <w:p w14:paraId="4FC96471" w14:textId="77777777" w:rsidR="00723D6B" w:rsidRDefault="00723D6B">
      <w:pPr>
        <w:pStyle w:val="NormalWeb"/>
      </w:pPr>
      <w:r>
        <w:t> </w:t>
      </w:r>
    </w:p>
    <w:p w14:paraId="7C1F1FBC" w14:textId="77777777" w:rsidR="00723D6B" w:rsidRDefault="00723D6B">
      <w:pPr>
        <w:pStyle w:val="NormalWeb"/>
      </w:pPr>
      <w:r>
        <w:t> </w:t>
      </w:r>
    </w:p>
    <w:p w14:paraId="51116396" w14:textId="77777777" w:rsidR="00723D6B" w:rsidRDefault="00723D6B">
      <w:pPr>
        <w:pStyle w:val="NormalWeb"/>
      </w:pPr>
      <w:r>
        <w:t> </w:t>
      </w:r>
    </w:p>
    <w:p w14:paraId="232647BD" w14:textId="77777777" w:rsidR="00723D6B" w:rsidRDefault="00723D6B">
      <w:pPr>
        <w:pStyle w:val="NormalWeb"/>
        <w:ind w:firstLine="2000"/>
        <w:jc w:val="left"/>
      </w:pPr>
      <w:r>
        <w:t>PUBLICAR:</w:t>
      </w:r>
    </w:p>
    <w:p w14:paraId="0E9AD3C3" w14:textId="77777777" w:rsidR="00723D6B" w:rsidRDefault="00723D6B">
      <w:pPr>
        <w:pStyle w:val="cbpublicacao"/>
        <w:ind w:firstLine="2000"/>
        <w:jc w:val="left"/>
      </w:pPr>
      <w:r>
        <w:rPr>
          <w:rFonts w:ascii="Wingdings 2" w:hAnsi="Wingdings 2"/>
          <w:sz w:val="28"/>
          <w:szCs w:val="28"/>
        </w:rPr>
        <w:t>*</w:t>
      </w:r>
      <w:r>
        <w:t xml:space="preserve"> - Diá</w:t>
      </w:r>
      <w:r>
        <w:t xml:space="preserve">rio Oficial do Estado - </w:t>
      </w:r>
      <w:r>
        <w:rPr>
          <w:b/>
          <w:bCs/>
        </w:rPr>
        <w:t>03.03.26</w:t>
      </w:r>
    </w:p>
    <w:sectPr w:rsidR="00723D6B">
      <w:pgSz w:w="11907" w:h="16840"/>
      <w:pgMar w:top="567" w:right="567" w:bottom="709"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noPunctuationKerning/>
  <w:characterSpacingControl w:val="doNotCompress"/>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DD62E5"/>
    <w:rsid w:val="006111EE"/>
    <w:rsid w:val="00723D6B"/>
    <w:rsid w:val="00DD62E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BB9330"/>
  <w15:chartTrackingRefBased/>
  <w15:docId w15:val="{4D31AF60-26D7-4185-8D9F-DBE3109A67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paragraph" w:styleId="Ttulo1">
    <w:name w:val="heading 1"/>
    <w:basedOn w:val="Normal"/>
    <w:link w:val="Ttulo1Char"/>
    <w:uiPriority w:val="9"/>
    <w:qFormat/>
    <w:pPr>
      <w:jc w:val="center"/>
      <w:outlineLvl w:val="0"/>
    </w:pPr>
    <w:rPr>
      <w:rFonts w:ascii="Courier New" w:hAnsi="Courier New" w:cs="Courier New"/>
      <w:b/>
      <w:bCs/>
      <w:color w:val="000000"/>
      <w:kern w:val="36"/>
    </w:rPr>
  </w:style>
  <w:style w:type="paragraph" w:styleId="Ttulo2">
    <w:name w:val="heading 2"/>
    <w:basedOn w:val="Normal"/>
    <w:link w:val="Ttulo2Char"/>
    <w:uiPriority w:val="9"/>
    <w:qFormat/>
    <w:pPr>
      <w:jc w:val="both"/>
      <w:outlineLvl w:val="1"/>
    </w:pPr>
    <w:rPr>
      <w:rFonts w:ascii="Arial" w:hAnsi="Arial" w:cs="Arial"/>
      <w:b/>
      <w:bCs/>
      <w:color w:val="000000"/>
      <w:sz w:val="16"/>
      <w:szCs w:val="16"/>
    </w:rPr>
  </w:style>
  <w:style w:type="paragraph" w:styleId="Ttulo3">
    <w:name w:val="heading 3"/>
    <w:basedOn w:val="Normal"/>
    <w:link w:val="Ttulo3Char"/>
    <w:uiPriority w:val="9"/>
    <w:qFormat/>
    <w:pPr>
      <w:jc w:val="both"/>
      <w:outlineLvl w:val="2"/>
    </w:pPr>
    <w:rPr>
      <w:rFonts w:ascii="Courier New" w:hAnsi="Courier New" w:cs="Courier New"/>
      <w:b/>
      <w:bCs/>
      <w:color w:val="000000"/>
      <w:sz w:val="16"/>
      <w:szCs w:val="1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Pr>
      <w:rFonts w:asciiTheme="minorHAnsi" w:eastAsiaTheme="majorEastAsia" w:hAnsiTheme="minorHAnsi" w:cstheme="majorBidi"/>
      <w:color w:val="2F5496" w:themeColor="accent1" w:themeShade="BF"/>
      <w:sz w:val="28"/>
      <w:szCs w:val="28"/>
    </w:rPr>
  </w:style>
  <w:style w:type="paragraph" w:customStyle="1" w:styleId="msonormal0">
    <w:name w:val="msonormal"/>
    <w:basedOn w:val="Normal"/>
    <w:pPr>
      <w:jc w:val="both"/>
    </w:pPr>
    <w:rPr>
      <w:rFonts w:ascii="Arial" w:hAnsi="Arial" w:cs="Arial"/>
      <w:color w:val="000000"/>
      <w:sz w:val="16"/>
      <w:szCs w:val="16"/>
    </w:rPr>
  </w:style>
  <w:style w:type="paragraph" w:styleId="NormalWeb">
    <w:name w:val="Normal (Web)"/>
    <w:basedOn w:val="Normal"/>
    <w:uiPriority w:val="99"/>
    <w:semiHidden/>
    <w:unhideWhenUsed/>
    <w:pPr>
      <w:jc w:val="both"/>
    </w:pPr>
    <w:rPr>
      <w:rFonts w:ascii="Arial" w:hAnsi="Arial" w:cs="Arial"/>
      <w:color w:val="000000"/>
      <w:sz w:val="16"/>
      <w:szCs w:val="16"/>
    </w:rPr>
  </w:style>
  <w:style w:type="paragraph" w:customStyle="1" w:styleId="espaco">
    <w:name w:val="espaco"/>
    <w:basedOn w:val="Normal"/>
    <w:pPr>
      <w:ind w:firstLine="300"/>
      <w:jc w:val="both"/>
    </w:pPr>
    <w:rPr>
      <w:rFonts w:ascii="Courier New" w:hAnsi="Courier New" w:cs="Courier New"/>
      <w:color w:val="000000"/>
      <w:sz w:val="18"/>
      <w:szCs w:val="18"/>
    </w:rPr>
  </w:style>
  <w:style w:type="paragraph" w:customStyle="1" w:styleId="introducao">
    <w:name w:val="introducao"/>
    <w:basedOn w:val="Normal"/>
    <w:pPr>
      <w:ind w:left="2540"/>
      <w:jc w:val="both"/>
    </w:pPr>
    <w:rPr>
      <w:rFonts w:ascii="Courier New" w:hAnsi="Courier New" w:cs="Courier New"/>
      <w:color w:val="000000"/>
      <w:sz w:val="18"/>
      <w:szCs w:val="18"/>
    </w:rPr>
  </w:style>
  <w:style w:type="paragraph" w:customStyle="1" w:styleId="cabecalho">
    <w:name w:val="cabecalho"/>
    <w:basedOn w:val="Normal"/>
    <w:pPr>
      <w:jc w:val="center"/>
    </w:pPr>
    <w:rPr>
      <w:rFonts w:ascii="Arial" w:hAnsi="Arial" w:cs="Arial"/>
      <w:b/>
      <w:bCs/>
      <w:color w:val="000000"/>
      <w:sz w:val="18"/>
      <w:szCs w:val="18"/>
    </w:rPr>
  </w:style>
  <w:style w:type="paragraph" w:customStyle="1" w:styleId="p2">
    <w:name w:val="p2"/>
    <w:basedOn w:val="Normal"/>
    <w:pPr>
      <w:jc w:val="both"/>
    </w:pPr>
    <w:rPr>
      <w:rFonts w:ascii="Courier New" w:hAnsi="Courier New" w:cs="Courier New"/>
      <w:color w:val="000000"/>
      <w:sz w:val="16"/>
      <w:szCs w:val="16"/>
    </w:rPr>
  </w:style>
  <w:style w:type="paragraph" w:customStyle="1" w:styleId="publicacao">
    <w:name w:val="publicacao"/>
    <w:basedOn w:val="Normal"/>
    <w:pPr>
      <w:jc w:val="both"/>
    </w:pPr>
    <w:rPr>
      <w:rFonts w:ascii="Arial" w:hAnsi="Arial" w:cs="Arial"/>
      <w:color w:val="000000"/>
      <w:sz w:val="16"/>
      <w:szCs w:val="16"/>
    </w:rPr>
  </w:style>
  <w:style w:type="paragraph" w:customStyle="1" w:styleId="cbpublicacao">
    <w:name w:val="cbpublicacao"/>
    <w:basedOn w:val="Normal"/>
    <w:pPr>
      <w:jc w:val="both"/>
    </w:pPr>
    <w:rPr>
      <w:rFonts w:ascii="Arial" w:hAnsi="Arial" w:cs="Arial"/>
      <w:color w:val="000000"/>
      <w:sz w:val="20"/>
      <w:szCs w:val="20"/>
    </w:rPr>
  </w:style>
  <w:style w:type="paragraph" w:customStyle="1" w:styleId="cabecalhoestadov">
    <w:name w:val="cabecalhoestadov"/>
    <w:basedOn w:val="Normal"/>
    <w:pPr>
      <w:jc w:val="both"/>
    </w:pPr>
    <w:rPr>
      <w:rFonts w:ascii="Courier New" w:hAnsi="Courier New" w:cs="Courier New"/>
      <w:b/>
      <w:bCs/>
      <w:color w:val="000000"/>
      <w:sz w:val="18"/>
      <w:szCs w:val="18"/>
    </w:rPr>
  </w:style>
  <w:style w:type="paragraph" w:customStyle="1" w:styleId="cabecalhoorgaov">
    <w:name w:val="cabecalhoorgaov"/>
    <w:basedOn w:val="Normal"/>
    <w:pPr>
      <w:jc w:val="both"/>
    </w:pPr>
    <w:rPr>
      <w:rFonts w:ascii="Courier New" w:hAnsi="Courier New" w:cs="Courier New"/>
      <w:b/>
      <w:bCs/>
      <w:color w:val="000000"/>
      <w:sz w:val="18"/>
      <w:szCs w:val="18"/>
    </w:rPr>
  </w:style>
  <w:style w:type="paragraph" w:customStyle="1" w:styleId="cabecalhosetorv">
    <w:name w:val="cabecalhosetorv"/>
    <w:basedOn w:val="Normal"/>
    <w:pPr>
      <w:jc w:val="both"/>
    </w:pPr>
    <w:rPr>
      <w:rFonts w:ascii="Courier New" w:hAnsi="Courier New" w:cs="Courier New"/>
      <w:b/>
      <w:bCs/>
      <w:color w:val="000000"/>
      <w:sz w:val="18"/>
      <w:szCs w:val="18"/>
    </w:rPr>
  </w:style>
  <w:style w:type="paragraph" w:customStyle="1" w:styleId="cabecalhoestadoh">
    <w:name w:val="cabecalhoestadoh"/>
    <w:basedOn w:val="Normal"/>
    <w:pPr>
      <w:jc w:val="both"/>
    </w:pPr>
    <w:rPr>
      <w:rFonts w:ascii="Courier New" w:hAnsi="Courier New" w:cs="Courier New"/>
      <w:b/>
      <w:bCs/>
      <w:color w:val="000000"/>
    </w:rPr>
  </w:style>
  <w:style w:type="paragraph" w:customStyle="1" w:styleId="cabecalhoorgaoh">
    <w:name w:val="cabecalhoorgaoh"/>
    <w:basedOn w:val="Normal"/>
    <w:pPr>
      <w:jc w:val="both"/>
    </w:pPr>
    <w:rPr>
      <w:rFonts w:ascii="Courier New" w:hAnsi="Courier New" w:cs="Courier New"/>
      <w:b/>
      <w:bCs/>
      <w:color w:val="000000"/>
    </w:rPr>
  </w:style>
  <w:style w:type="paragraph" w:customStyle="1" w:styleId="cabecalhosetorh">
    <w:name w:val="cabecalhosetorh"/>
    <w:basedOn w:val="Normal"/>
    <w:pPr>
      <w:jc w:val="both"/>
    </w:pPr>
    <w:rPr>
      <w:rFonts w:ascii="Courier New" w:hAnsi="Courier New" w:cs="Courier New"/>
      <w:b/>
      <w:bCs/>
      <w:color w:val="000000"/>
    </w:rPr>
  </w:style>
  <w:style w:type="paragraph" w:customStyle="1" w:styleId="titulo">
    <w:name w:val="titulo"/>
    <w:basedOn w:val="Normal"/>
    <w:pPr>
      <w:jc w:val="both"/>
    </w:pPr>
    <w:rPr>
      <w:rFonts w:ascii="Courier New" w:hAnsi="Courier New" w:cs="Courier New"/>
      <w:b/>
      <w:bCs/>
      <w:color w:val="000000"/>
      <w:sz w:val="28"/>
      <w:szCs w:val="28"/>
    </w:rPr>
  </w:style>
  <w:style w:type="paragraph" w:customStyle="1" w:styleId="assinatura">
    <w:name w:val="assinatura"/>
    <w:basedOn w:val="Normal"/>
    <w:pPr>
      <w:jc w:val="both"/>
    </w:pPr>
    <w:rPr>
      <w:rFonts w:ascii="Arial" w:hAnsi="Arial" w:cs="Arial"/>
      <w:color w:val="000000"/>
      <w:sz w:val="18"/>
      <w:szCs w:val="18"/>
    </w:rPr>
  </w:style>
  <w:style w:type="paragraph" w:customStyle="1" w:styleId="assinaturalinha">
    <w:name w:val="assinatura_linha"/>
    <w:basedOn w:val="Normal"/>
    <w:pPr>
      <w:jc w:val="both"/>
    </w:pPr>
    <w:rPr>
      <w:rFonts w:ascii="Arial" w:hAnsi="Arial" w:cs="Arial"/>
      <w:color w:val="000000"/>
      <w:sz w:val="18"/>
      <w:szCs w:val="18"/>
    </w:rPr>
  </w:style>
  <w:style w:type="paragraph" w:customStyle="1" w:styleId="assinaturanome">
    <w:name w:val="assinatura_nome"/>
    <w:basedOn w:val="Normal"/>
    <w:pPr>
      <w:jc w:val="both"/>
    </w:pPr>
    <w:rPr>
      <w:rFonts w:ascii="Arial" w:hAnsi="Arial" w:cs="Arial"/>
      <w:color w:val="000000"/>
      <w:sz w:val="18"/>
      <w:szCs w:val="18"/>
    </w:rPr>
  </w:style>
  <w:style w:type="paragraph" w:customStyle="1" w:styleId="assinaturacargo">
    <w:name w:val="assinatura_cargo"/>
    <w:basedOn w:val="Normal"/>
    <w:pPr>
      <w:jc w:val="both"/>
    </w:pPr>
    <w:rPr>
      <w:rFonts w:ascii="Arial" w:hAnsi="Arial" w:cs="Arial"/>
      <w:color w:val="000000"/>
      <w:sz w:val="18"/>
      <w:szCs w:val="18"/>
    </w:rPr>
  </w:style>
  <w:style w:type="paragraph" w:customStyle="1" w:styleId="assminuta">
    <w:name w:val="ass_minuta"/>
    <w:basedOn w:val="Normal"/>
    <w:pPr>
      <w:jc w:val="both"/>
    </w:pPr>
    <w:rPr>
      <w:rFonts w:ascii="Arial" w:hAnsi="Arial" w:cs="Arial"/>
      <w:color w:val="000000"/>
      <w:sz w:val="16"/>
      <w:szCs w:val="16"/>
    </w:rPr>
  </w:style>
  <w:style w:type="paragraph" w:customStyle="1" w:styleId="quebra">
    <w:name w:val="quebra"/>
    <w:basedOn w:val="Normal"/>
    <w:pPr>
      <w:pageBreakBefore/>
      <w:spacing w:before="100" w:beforeAutospacing="1" w:after="100" w:afterAutospacing="1"/>
    </w:pPr>
  </w:style>
  <w:style w:type="paragraph" w:customStyle="1" w:styleId="rodape">
    <w:name w:val="rodape"/>
    <w:basedOn w:val="Normal"/>
    <w:pPr>
      <w:pageBreakBefore/>
      <w:spacing w:before="100" w:beforeAutospacing="1" w:after="100" w:afterAutospacing="1"/>
    </w:pPr>
    <w:rPr>
      <w:rFonts w:ascii="Arial" w:hAnsi="Arial" w:cs="Arial"/>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2111</Words>
  <Characters>11402</Characters>
  <Application>Microsoft Office Word</Application>
  <DocSecurity>0</DocSecurity>
  <Lines>95</Lines>
  <Paragraphs>26</Paragraphs>
  <ScaleCrop>false</ScaleCrop>
  <Company/>
  <LinksUpToDate>false</LinksUpToDate>
  <CharactersWithSpaces>13487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WinLicita</dc:title>
  <dc:subject/>
  <dc:creator>wilsonlourencojr</dc:creator>
  <cp:keywords/>
  <dc:description/>
  <cp:lastModifiedBy>wilsonlourencojr</cp:lastModifiedBy>
  <cp:revision>2</cp:revision>
  <dcterms:created xsi:type="dcterms:W3CDTF">2026-03-17T14:58:00Z</dcterms:created>
  <dcterms:modified xsi:type="dcterms:W3CDTF">2026-03-17T14:58:00Z</dcterms:modified>
</cp:coreProperties>
</file>